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50" w:rsidRDefault="00EB2350" w:rsidP="00EB2350">
      <w:r>
        <w:t>Date:</w:t>
      </w:r>
      <w:r>
        <w:tab/>
        <w:t xml:space="preserve">September </w:t>
      </w:r>
      <w:r w:rsidR="00B26F82">
        <w:t>26</w:t>
      </w:r>
      <w:r>
        <w:t>, 2011</w:t>
      </w:r>
    </w:p>
    <w:p w:rsidR="00EB2350" w:rsidRDefault="00EB2350" w:rsidP="00EB2350">
      <w:r>
        <w:t>From:</w:t>
      </w:r>
      <w:r>
        <w:tab/>
        <w:t>NSF and ONR</w:t>
      </w:r>
    </w:p>
    <w:p w:rsidR="00EB2350" w:rsidRDefault="00EB2350" w:rsidP="00EB2350">
      <w:r>
        <w:t xml:space="preserve">To: </w:t>
      </w:r>
      <w:r>
        <w:tab/>
        <w:t>Dr. Bruce Corliss-UNOLS Chair</w:t>
      </w:r>
    </w:p>
    <w:p w:rsidR="00EB2350" w:rsidRDefault="00EB2350" w:rsidP="00EB2350"/>
    <w:p w:rsidR="00EB2350" w:rsidRDefault="00EB2350" w:rsidP="00EB2350">
      <w:pPr>
        <w:ind w:left="720" w:hanging="720"/>
      </w:pPr>
      <w:r>
        <w:t xml:space="preserve">Subj: </w:t>
      </w:r>
      <w:r>
        <w:tab/>
        <w:t xml:space="preserve">2012 </w:t>
      </w:r>
      <w:smartTag w:uri="urn:schemas-microsoft-com:office:smarttags" w:element="place">
        <w:smartTag w:uri="urn:schemas-microsoft-com:office:smarttags" w:element="country-region">
          <w:r>
            <w:t>U.S.</w:t>
          </w:r>
        </w:smartTag>
      </w:smartTag>
      <w:r>
        <w:t xml:space="preserve"> Academic Research Fleet Operations Support Findings and Recommendations</w:t>
      </w:r>
    </w:p>
    <w:p w:rsidR="00EB2350" w:rsidRDefault="00EB2350" w:rsidP="00EB2350">
      <w:pPr>
        <w:ind w:left="720" w:hanging="720"/>
        <w:rPr>
          <w:vertAlign w:val="superscript"/>
        </w:rPr>
      </w:pPr>
      <w:r>
        <w:t>Ref:</w:t>
      </w:r>
      <w:r>
        <w:tab/>
      </w:r>
      <w:r w:rsidRPr="0018026D">
        <w:rPr>
          <w:lang w:bidi="en-US"/>
        </w:rPr>
        <w:t>Criteria and Process for Recommending Non-Operational Periods of Ships in the UNOLS Fleet</w:t>
      </w:r>
      <w:r>
        <w:t>, UNOLS Council - July 24, 2006.</w:t>
      </w:r>
      <w:r w:rsidRPr="0018026D">
        <w:rPr>
          <w:vertAlign w:val="superscript"/>
        </w:rPr>
        <w:t>1</w:t>
      </w:r>
    </w:p>
    <w:p w:rsidR="00EB2350" w:rsidRDefault="00EB2350" w:rsidP="00EB2350">
      <w:pPr>
        <w:ind w:left="720" w:hanging="720"/>
        <w:rPr>
          <w:vertAlign w:val="superscript"/>
        </w:rPr>
      </w:pPr>
    </w:p>
    <w:p w:rsidR="00EB2350" w:rsidRDefault="00EB2350" w:rsidP="00EB2350">
      <w:pPr>
        <w:ind w:left="720" w:hanging="720"/>
        <w:jc w:val="center"/>
        <w:rPr>
          <w:b/>
        </w:rPr>
      </w:pPr>
      <w:r w:rsidRPr="000F7DC4">
        <w:rPr>
          <w:b/>
        </w:rPr>
        <w:t>Introduction</w:t>
      </w:r>
    </w:p>
    <w:p w:rsidR="00EB2350" w:rsidRPr="000F7DC4" w:rsidRDefault="00EB2350" w:rsidP="00EB2350">
      <w:pPr>
        <w:ind w:left="720" w:hanging="720"/>
        <w:jc w:val="center"/>
        <w:rPr>
          <w:b/>
        </w:rPr>
      </w:pPr>
    </w:p>
    <w:p w:rsidR="00EB2350" w:rsidRDefault="00EB2350" w:rsidP="00EB2350">
      <w:pPr>
        <w:spacing w:after="120"/>
      </w:pPr>
      <w:r>
        <w:t xml:space="preserve">The National Science Foundation (NSF), the Office of Naval Research, and the UNOLS Executive Secretary have participated in numerous ship scheduling meetings and conducted a thorough review of the 2012 Letters of Intent for the Fleet.  There are </w:t>
      </w:r>
      <w:r w:rsidRPr="008C3529">
        <w:t>presently 2</w:t>
      </w:r>
      <w:r w:rsidR="002A5C03" w:rsidRPr="008C3529">
        <w:t>582</w:t>
      </w:r>
      <w:r w:rsidRPr="008C3529">
        <w:t xml:space="preserve"> funded days across all agencies as shown in the 2012 Proposed Operating Days table below.  There are </w:t>
      </w:r>
      <w:r w:rsidR="002A5C03" w:rsidRPr="008C3529">
        <w:t>646</w:t>
      </w:r>
      <w:r w:rsidRPr="008C3529">
        <w:t xml:space="preserve"> pending days of which we are applying a 30% funding success rate to arrive at </w:t>
      </w:r>
      <w:r w:rsidR="002A5C03" w:rsidRPr="008C3529">
        <w:t>194</w:t>
      </w:r>
      <w:r w:rsidRPr="008C3529">
        <w:t xml:space="preserve"> days (Institution/State-1</w:t>
      </w:r>
      <w:r w:rsidR="002A5C03" w:rsidRPr="008C3529">
        <w:t>2</w:t>
      </w:r>
      <w:r w:rsidRPr="008C3529">
        <w:t>, NASA-1, Navy-</w:t>
      </w:r>
      <w:r w:rsidR="002A5C03" w:rsidRPr="008C3529">
        <w:t>6</w:t>
      </w:r>
      <w:r w:rsidRPr="008C3529">
        <w:t>, NOAA-4</w:t>
      </w:r>
      <w:r w:rsidR="002A5C03" w:rsidRPr="008C3529">
        <w:t>7</w:t>
      </w:r>
      <w:r w:rsidRPr="008C3529">
        <w:t>, NSF-</w:t>
      </w:r>
      <w:r w:rsidR="002A5C03" w:rsidRPr="008C3529">
        <w:t>110</w:t>
      </w:r>
      <w:r w:rsidRPr="008C3529">
        <w:t xml:space="preserve">, </w:t>
      </w:r>
      <w:r w:rsidR="00CF1113" w:rsidRPr="008C3529">
        <w:t>USGS-1, BOEM</w:t>
      </w:r>
      <w:r w:rsidR="0057193E" w:rsidRPr="008C3529">
        <w:t>RE</w:t>
      </w:r>
      <w:r w:rsidR="00CF1113" w:rsidRPr="008C3529">
        <w:t xml:space="preserve">-2, and </w:t>
      </w:r>
      <w:r w:rsidRPr="008C3529">
        <w:t>Other-</w:t>
      </w:r>
      <w:r w:rsidR="002A5C03" w:rsidRPr="008C3529">
        <w:t>16</w:t>
      </w:r>
      <w:r w:rsidRPr="008C3529">
        <w:t>) of proposed shiptime which we anticipate will be funded. This will bring the UNOLS Fleet total days to 2</w:t>
      </w:r>
      <w:r w:rsidR="002A5C03" w:rsidRPr="008C3529">
        <w:t>776</w:t>
      </w:r>
      <w:r w:rsidRPr="008C3529">
        <w:t>.  The available information indicates the number of proposed Fleet operating days</w:t>
      </w:r>
      <w:r>
        <w:t xml:space="preserve"> for 2012 is significantly reduced from historical levels. Figures 1-3 illustrate the Fleet utilization trends over the past </w:t>
      </w:r>
      <w:r w:rsidR="00A976F8">
        <w:t>ten</w:t>
      </w:r>
      <w:r>
        <w:t xml:space="preserve"> years and the anticipated use in 2012. </w:t>
      </w:r>
    </w:p>
    <w:p w:rsidR="00EB2350" w:rsidRDefault="00EB2350" w:rsidP="00EB2350">
      <w:pPr>
        <w:spacing w:after="120"/>
      </w:pPr>
      <w:r>
        <w:t xml:space="preserve">Based on the findings outlined below, several ships in the Fleet will have less than </w:t>
      </w:r>
      <w:r w:rsidR="006A08F6">
        <w:t>optimal</w:t>
      </w:r>
      <w:r>
        <w:t xml:space="preserve"> schedules in 2012. As agreed to by the UNOLS Council, the document which will guide the </w:t>
      </w:r>
      <w:r w:rsidRPr="0018026D">
        <w:t>recommended process for making decisions regarding non-operational periods calls for substantive recommendations to be made by the Agencies</w:t>
      </w:r>
      <w:r>
        <w:t>.  This letter provides those recommendations.  The link to the reference document is:</w:t>
      </w:r>
    </w:p>
    <w:p w:rsidR="00EB2350" w:rsidRDefault="00EB2350" w:rsidP="00EB2350">
      <w:pPr>
        <w:ind w:left="720" w:hanging="720"/>
      </w:pPr>
      <w:hyperlink r:id="rId7" w:history="1">
        <w:r w:rsidRPr="00D67DAC">
          <w:rPr>
            <w:rStyle w:val="Hyperlink"/>
          </w:rPr>
          <w:t>http://www.unols.org/publications/reports/budget_impacts/NonOp_Process_Recmd.pdf</w:t>
        </w:r>
      </w:hyperlink>
    </w:p>
    <w:p w:rsidR="00EB2350" w:rsidRPr="000F7DC4" w:rsidRDefault="00EB2350" w:rsidP="00EB2350">
      <w:pPr>
        <w:ind w:left="720" w:hanging="720"/>
      </w:pPr>
    </w:p>
    <w:p w:rsidR="00EB2350" w:rsidRDefault="00EB2350" w:rsidP="00EB2350">
      <w:pPr>
        <w:spacing w:after="120"/>
        <w:jc w:val="center"/>
        <w:rPr>
          <w:b/>
        </w:rPr>
      </w:pPr>
      <w:r>
        <w:rPr>
          <w:b/>
        </w:rPr>
        <w:t>Guidelines</w:t>
      </w:r>
    </w:p>
    <w:p w:rsidR="00EB2350" w:rsidRDefault="00EB2350" w:rsidP="00EB2350">
      <w:pPr>
        <w:spacing w:after="120"/>
      </w:pPr>
      <w:r>
        <w:t>The guidelines used to develop these recommendations are outlined below:</w:t>
      </w:r>
    </w:p>
    <w:p w:rsidR="00EB2350" w:rsidRDefault="00EB2350" w:rsidP="00EB2350">
      <w:pPr>
        <w:numPr>
          <w:ilvl w:val="0"/>
          <w:numId w:val="5"/>
        </w:numPr>
        <w:spacing w:after="120"/>
      </w:pPr>
      <w:r>
        <w:t>Ship schedules must be developed to meet the science program requirements while adhering to budgetary constraints.</w:t>
      </w:r>
    </w:p>
    <w:p w:rsidR="00EB2350" w:rsidRDefault="00EB2350" w:rsidP="00EB2350">
      <w:pPr>
        <w:numPr>
          <w:ilvl w:val="0"/>
          <w:numId w:val="5"/>
        </w:numPr>
        <w:spacing w:after="120"/>
      </w:pPr>
      <w:r>
        <w:t xml:space="preserve">Science program requirements must match the oceanographic outfitting capabilities of the ship on which the program is scheduled. </w:t>
      </w:r>
    </w:p>
    <w:p w:rsidR="00EB2350" w:rsidRDefault="00EB2350" w:rsidP="00EB2350">
      <w:pPr>
        <w:numPr>
          <w:ilvl w:val="0"/>
          <w:numId w:val="5"/>
        </w:numPr>
        <w:spacing w:after="120"/>
      </w:pPr>
      <w:r>
        <w:t>The Funding Agency Program Manager and the Principal Investigator will be consulted when information beyond that listed on the UNOLS Shiptime Request Form is required.</w:t>
      </w:r>
    </w:p>
    <w:p w:rsidR="00EB2350" w:rsidRDefault="00EB2350" w:rsidP="00EB2350">
      <w:pPr>
        <w:numPr>
          <w:ilvl w:val="0"/>
          <w:numId w:val="5"/>
        </w:numPr>
        <w:spacing w:after="120"/>
      </w:pPr>
      <w:r>
        <w:t xml:space="preserve">Programs may be scheduled as a two ship operation instead of a single Global Class ship if it will be more efficient and cost effective. </w:t>
      </w:r>
    </w:p>
    <w:p w:rsidR="00EB2350" w:rsidRDefault="00EB2350" w:rsidP="00EB2350">
      <w:pPr>
        <w:numPr>
          <w:ilvl w:val="0"/>
          <w:numId w:val="5"/>
        </w:numPr>
        <w:spacing w:after="120"/>
      </w:pPr>
      <w:r>
        <w:t>No funded programs will be left “on the beach” if at all possible within the budgetary constraints.</w:t>
      </w:r>
    </w:p>
    <w:p w:rsidR="00EB2350" w:rsidRPr="002E0482" w:rsidRDefault="00EB2350" w:rsidP="00EB2350">
      <w:pPr>
        <w:numPr>
          <w:ilvl w:val="0"/>
          <w:numId w:val="5"/>
        </w:numPr>
        <w:spacing w:after="120"/>
      </w:pPr>
      <w:r>
        <w:lastRenderedPageBreak/>
        <w:t xml:space="preserve">Programs will not be deferred unless it is cost prohibitive to schedule due to the remote nature of the operating area or due to inordinate transit costs to mobilize in that area. </w:t>
      </w:r>
    </w:p>
    <w:p w:rsidR="00EB2350" w:rsidRPr="002E0482" w:rsidRDefault="00EB2350" w:rsidP="00EB2350">
      <w:pPr>
        <w:spacing w:after="120"/>
      </w:pPr>
    </w:p>
    <w:p w:rsidR="00EB2350" w:rsidRPr="001675DF" w:rsidRDefault="00EB2350" w:rsidP="00EB2350">
      <w:pPr>
        <w:spacing w:after="120"/>
      </w:pPr>
      <w:r>
        <w:t xml:space="preserve">The </w:t>
      </w:r>
      <w:r w:rsidRPr="0018026D">
        <w:t>following findings and recommendations regarding UNOLS ship operations for 20</w:t>
      </w:r>
      <w:r>
        <w:t xml:space="preserve">12 are based on the </w:t>
      </w:r>
      <w:r w:rsidRPr="0018026D">
        <w:t xml:space="preserve">submitted shiptime requests, posted </w:t>
      </w:r>
      <w:r>
        <w:t>L</w:t>
      </w:r>
      <w:r w:rsidRPr="0018026D">
        <w:t xml:space="preserve">etters of </w:t>
      </w:r>
      <w:r>
        <w:t>I</w:t>
      </w:r>
      <w:r w:rsidRPr="0018026D">
        <w:t xml:space="preserve">ntent (preliminary schedules) and cost estimates </w:t>
      </w:r>
      <w:r>
        <w:t>pr</w:t>
      </w:r>
      <w:r w:rsidRPr="0018026D">
        <w:t>ovided by the UNOLS ship operators</w:t>
      </w:r>
      <w:r>
        <w:t xml:space="preserve">: </w:t>
      </w:r>
      <w:r w:rsidRPr="0018026D">
        <w:t xml:space="preserve"> </w:t>
      </w:r>
    </w:p>
    <w:p w:rsidR="00EB2350" w:rsidRDefault="00EB2350" w:rsidP="00EB2350">
      <w:pPr>
        <w:jc w:val="center"/>
        <w:rPr>
          <w:b/>
        </w:rPr>
      </w:pPr>
    </w:p>
    <w:p w:rsidR="00EB2350" w:rsidRDefault="00EB2350" w:rsidP="00EB2350">
      <w:pPr>
        <w:jc w:val="center"/>
        <w:rPr>
          <w:b/>
        </w:rPr>
      </w:pPr>
    </w:p>
    <w:p w:rsidR="00EB2350" w:rsidRDefault="00EB2350" w:rsidP="00810D84">
      <w:pPr>
        <w:rPr>
          <w:b/>
        </w:rPr>
      </w:pPr>
      <w:r w:rsidRPr="007D5D94">
        <w:rPr>
          <w:b/>
        </w:rPr>
        <w:t>Findings</w:t>
      </w:r>
      <w:r w:rsidR="00810D84">
        <w:rPr>
          <w:b/>
        </w:rPr>
        <w:t>:</w:t>
      </w:r>
    </w:p>
    <w:p w:rsidR="00EB2350" w:rsidRDefault="00EB2350" w:rsidP="00EB2350">
      <w:pPr>
        <w:jc w:val="center"/>
        <w:rPr>
          <w:b/>
        </w:rPr>
      </w:pPr>
    </w:p>
    <w:p w:rsidR="00EB2350" w:rsidRDefault="00EB2350" w:rsidP="00EB2350">
      <w:pPr>
        <w:jc w:val="center"/>
        <w:rPr>
          <w:b/>
        </w:rPr>
      </w:pPr>
      <w:bookmarkStart w:id="0" w:name="OLE_LINK5"/>
      <w:bookmarkStart w:id="1" w:name="OLE_LINK6"/>
      <w:r>
        <w:rPr>
          <w:b/>
        </w:rPr>
        <w:t>2009 Funded Day</w:t>
      </w:r>
    </w:p>
    <w:p w:rsidR="00EB2350" w:rsidRDefault="00EB2350" w:rsidP="00EB2350">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506"/>
        <w:gridCol w:w="506"/>
        <w:gridCol w:w="506"/>
        <w:gridCol w:w="576"/>
        <w:gridCol w:w="506"/>
        <w:gridCol w:w="506"/>
        <w:gridCol w:w="576"/>
        <w:gridCol w:w="576"/>
        <w:gridCol w:w="696"/>
        <w:gridCol w:w="506"/>
        <w:gridCol w:w="576"/>
        <w:gridCol w:w="696"/>
      </w:tblGrid>
      <w:tr w:rsidR="00EB2350" w:rsidRPr="00EB2350">
        <w:trPr>
          <w:cantSplit/>
          <w:trHeight w:val="1358"/>
          <w:jc w:val="center"/>
        </w:trPr>
        <w:tc>
          <w:tcPr>
            <w:tcW w:w="0" w:type="auto"/>
            <w:textDirection w:val="btLr"/>
          </w:tcPr>
          <w:p w:rsidR="00EB2350" w:rsidRPr="00EB2350" w:rsidRDefault="00EB2350" w:rsidP="00EB2350">
            <w:pPr>
              <w:ind w:left="113" w:right="113"/>
              <w:jc w:val="center"/>
              <w:rPr>
                <w:b/>
              </w:rPr>
            </w:pPr>
            <w:r w:rsidRPr="00EB2350">
              <w:rPr>
                <w:b/>
              </w:rPr>
              <w:t>Agency</w:t>
            </w:r>
          </w:p>
        </w:tc>
        <w:tc>
          <w:tcPr>
            <w:tcW w:w="0" w:type="auto"/>
            <w:textDirection w:val="btLr"/>
          </w:tcPr>
          <w:p w:rsidR="00EB2350" w:rsidRPr="00EB2350" w:rsidRDefault="00EB2350" w:rsidP="00EB2350">
            <w:pPr>
              <w:ind w:left="113" w:right="113"/>
              <w:jc w:val="center"/>
              <w:rPr>
                <w:b/>
              </w:rPr>
            </w:pPr>
            <w:r w:rsidRPr="00EB2350">
              <w:rPr>
                <w:b/>
              </w:rPr>
              <w:t>ACOE</w:t>
            </w:r>
          </w:p>
        </w:tc>
        <w:tc>
          <w:tcPr>
            <w:tcW w:w="0" w:type="auto"/>
            <w:textDirection w:val="btLr"/>
          </w:tcPr>
          <w:p w:rsidR="00EB2350" w:rsidRPr="00EB2350" w:rsidRDefault="00EB2350" w:rsidP="00EB2350">
            <w:pPr>
              <w:ind w:left="113" w:right="113"/>
              <w:jc w:val="center"/>
              <w:rPr>
                <w:b/>
              </w:rPr>
            </w:pPr>
            <w:r w:rsidRPr="00EB2350">
              <w:rPr>
                <w:b/>
              </w:rPr>
              <w:t>DOE</w:t>
            </w:r>
          </w:p>
        </w:tc>
        <w:tc>
          <w:tcPr>
            <w:tcW w:w="0" w:type="auto"/>
            <w:textDirection w:val="btLr"/>
          </w:tcPr>
          <w:p w:rsidR="00EB2350" w:rsidRPr="00EB2350" w:rsidRDefault="00EB2350" w:rsidP="00EB2350">
            <w:pPr>
              <w:ind w:left="113" w:right="113"/>
              <w:jc w:val="center"/>
              <w:rPr>
                <w:b/>
              </w:rPr>
            </w:pPr>
            <w:r w:rsidRPr="00EB2350">
              <w:rPr>
                <w:b/>
              </w:rPr>
              <w:t>EPA</w:t>
            </w:r>
          </w:p>
        </w:tc>
        <w:tc>
          <w:tcPr>
            <w:tcW w:w="0" w:type="auto"/>
            <w:textDirection w:val="btLr"/>
          </w:tcPr>
          <w:p w:rsidR="00EB2350" w:rsidRPr="00EB2350" w:rsidRDefault="00EB2350" w:rsidP="00EB2350">
            <w:pPr>
              <w:ind w:left="113" w:right="113"/>
              <w:jc w:val="center"/>
              <w:rPr>
                <w:b/>
              </w:rPr>
            </w:pPr>
            <w:r w:rsidRPr="00EB2350">
              <w:rPr>
                <w:b/>
              </w:rPr>
              <w:t>Inst/State</w:t>
            </w:r>
          </w:p>
        </w:tc>
        <w:tc>
          <w:tcPr>
            <w:tcW w:w="0" w:type="auto"/>
            <w:textDirection w:val="btLr"/>
          </w:tcPr>
          <w:p w:rsidR="00EB2350" w:rsidRPr="00EB2350" w:rsidRDefault="00EB2350" w:rsidP="00EB2350">
            <w:pPr>
              <w:ind w:left="113" w:right="113"/>
              <w:jc w:val="center"/>
              <w:rPr>
                <w:b/>
              </w:rPr>
            </w:pPr>
            <w:r w:rsidRPr="00EB2350">
              <w:rPr>
                <w:b/>
              </w:rPr>
              <w:t>BOEMRE</w:t>
            </w:r>
          </w:p>
        </w:tc>
        <w:tc>
          <w:tcPr>
            <w:tcW w:w="0" w:type="auto"/>
            <w:textDirection w:val="btLr"/>
          </w:tcPr>
          <w:p w:rsidR="00EB2350" w:rsidRPr="00EB2350" w:rsidRDefault="00EB2350" w:rsidP="00EB2350">
            <w:pPr>
              <w:ind w:left="113" w:right="113"/>
              <w:jc w:val="center"/>
              <w:rPr>
                <w:b/>
              </w:rPr>
            </w:pPr>
            <w:r w:rsidRPr="00EB2350">
              <w:rPr>
                <w:b/>
              </w:rPr>
              <w:t>NASA</w:t>
            </w:r>
          </w:p>
        </w:tc>
        <w:tc>
          <w:tcPr>
            <w:tcW w:w="0" w:type="auto"/>
            <w:textDirection w:val="btLr"/>
          </w:tcPr>
          <w:p w:rsidR="00EB2350" w:rsidRPr="00EB2350" w:rsidRDefault="00EB2350" w:rsidP="00EB2350">
            <w:pPr>
              <w:ind w:left="113" w:right="113"/>
              <w:jc w:val="center"/>
              <w:rPr>
                <w:b/>
              </w:rPr>
            </w:pPr>
            <w:r w:rsidRPr="00EB2350">
              <w:rPr>
                <w:b/>
              </w:rPr>
              <w:t>NAVY</w:t>
            </w:r>
          </w:p>
        </w:tc>
        <w:tc>
          <w:tcPr>
            <w:tcW w:w="0" w:type="auto"/>
            <w:textDirection w:val="btLr"/>
          </w:tcPr>
          <w:p w:rsidR="00EB2350" w:rsidRPr="00EB2350" w:rsidRDefault="00EB2350" w:rsidP="00EB2350">
            <w:pPr>
              <w:ind w:left="113" w:right="113"/>
              <w:jc w:val="center"/>
              <w:rPr>
                <w:b/>
              </w:rPr>
            </w:pPr>
            <w:r w:rsidRPr="00EB2350">
              <w:rPr>
                <w:b/>
              </w:rPr>
              <w:t>NOAA</w:t>
            </w:r>
          </w:p>
        </w:tc>
        <w:tc>
          <w:tcPr>
            <w:tcW w:w="0" w:type="auto"/>
            <w:textDirection w:val="btLr"/>
          </w:tcPr>
          <w:p w:rsidR="00EB2350" w:rsidRPr="00EB2350" w:rsidRDefault="00EB2350" w:rsidP="00EB2350">
            <w:pPr>
              <w:ind w:left="113" w:right="113"/>
              <w:jc w:val="center"/>
              <w:rPr>
                <w:b/>
              </w:rPr>
            </w:pPr>
            <w:r w:rsidRPr="00EB2350">
              <w:rPr>
                <w:b/>
              </w:rPr>
              <w:t>NSF</w:t>
            </w:r>
          </w:p>
        </w:tc>
        <w:tc>
          <w:tcPr>
            <w:tcW w:w="0" w:type="auto"/>
            <w:textDirection w:val="btLr"/>
          </w:tcPr>
          <w:p w:rsidR="00EB2350" w:rsidRPr="00EB2350" w:rsidRDefault="00EB2350" w:rsidP="00EB2350">
            <w:pPr>
              <w:ind w:left="113" w:right="113"/>
              <w:jc w:val="center"/>
              <w:rPr>
                <w:b/>
              </w:rPr>
            </w:pPr>
            <w:r w:rsidRPr="00EB2350">
              <w:rPr>
                <w:b/>
              </w:rPr>
              <w:t>USGS</w:t>
            </w:r>
          </w:p>
        </w:tc>
        <w:tc>
          <w:tcPr>
            <w:tcW w:w="0" w:type="auto"/>
            <w:textDirection w:val="btLr"/>
          </w:tcPr>
          <w:p w:rsidR="00EB2350" w:rsidRPr="00EB2350" w:rsidRDefault="00EB2350" w:rsidP="00EB2350">
            <w:pPr>
              <w:ind w:left="113" w:right="113"/>
              <w:jc w:val="center"/>
              <w:rPr>
                <w:b/>
              </w:rPr>
            </w:pPr>
            <w:r w:rsidRPr="00EB2350">
              <w:rPr>
                <w:b/>
              </w:rPr>
              <w:t>Other</w:t>
            </w:r>
          </w:p>
        </w:tc>
        <w:tc>
          <w:tcPr>
            <w:tcW w:w="0" w:type="auto"/>
            <w:textDirection w:val="btLr"/>
          </w:tcPr>
          <w:p w:rsidR="00EB2350" w:rsidRPr="00EB2350" w:rsidRDefault="00EB2350" w:rsidP="00EB2350">
            <w:pPr>
              <w:ind w:left="113" w:right="113"/>
              <w:jc w:val="center"/>
              <w:rPr>
                <w:b/>
              </w:rPr>
            </w:pPr>
            <w:r w:rsidRPr="00EB2350">
              <w:rPr>
                <w:b/>
              </w:rPr>
              <w:t>Total</w:t>
            </w:r>
          </w:p>
        </w:tc>
      </w:tr>
      <w:tr w:rsidR="00EB2350" w:rsidRPr="00EB2350">
        <w:trPr>
          <w:jc w:val="center"/>
        </w:trPr>
        <w:tc>
          <w:tcPr>
            <w:tcW w:w="0" w:type="auto"/>
          </w:tcPr>
          <w:p w:rsidR="00EB2350" w:rsidRPr="00EB2350" w:rsidRDefault="00EB2350" w:rsidP="00EB2350">
            <w:pPr>
              <w:jc w:val="center"/>
              <w:rPr>
                <w:b/>
              </w:rPr>
            </w:pPr>
            <w:r w:rsidRPr="00EB2350">
              <w:rPr>
                <w:b/>
              </w:rPr>
              <w:t>Days</w:t>
            </w:r>
          </w:p>
        </w:tc>
        <w:tc>
          <w:tcPr>
            <w:tcW w:w="0" w:type="auto"/>
          </w:tcPr>
          <w:p w:rsidR="00EB2350" w:rsidRPr="00EB2350" w:rsidRDefault="00EB2350" w:rsidP="00EB2350">
            <w:pPr>
              <w:jc w:val="center"/>
              <w:rPr>
                <w:b/>
              </w:rPr>
            </w:pPr>
            <w:r w:rsidRPr="00EB2350">
              <w:rPr>
                <w:b/>
              </w:rPr>
              <w:t>5</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175</w:t>
            </w:r>
          </w:p>
        </w:tc>
        <w:tc>
          <w:tcPr>
            <w:tcW w:w="0" w:type="auto"/>
          </w:tcPr>
          <w:p w:rsidR="00EB2350" w:rsidRPr="00EB2350" w:rsidRDefault="00EB2350" w:rsidP="00EB2350">
            <w:pPr>
              <w:jc w:val="center"/>
              <w:rPr>
                <w:b/>
              </w:rPr>
            </w:pPr>
            <w:r w:rsidRPr="00EB2350">
              <w:rPr>
                <w:b/>
              </w:rPr>
              <w:t>57</w:t>
            </w:r>
          </w:p>
        </w:tc>
        <w:tc>
          <w:tcPr>
            <w:tcW w:w="0" w:type="auto"/>
          </w:tcPr>
          <w:p w:rsidR="00EB2350" w:rsidRPr="00EB2350" w:rsidRDefault="00EB2350" w:rsidP="00EB2350">
            <w:pPr>
              <w:jc w:val="center"/>
              <w:rPr>
                <w:b/>
              </w:rPr>
            </w:pPr>
            <w:r w:rsidRPr="00EB2350">
              <w:rPr>
                <w:b/>
              </w:rPr>
              <w:t>40</w:t>
            </w:r>
          </w:p>
        </w:tc>
        <w:tc>
          <w:tcPr>
            <w:tcW w:w="0" w:type="auto"/>
          </w:tcPr>
          <w:p w:rsidR="00EB2350" w:rsidRPr="00EB2350" w:rsidRDefault="00EB2350" w:rsidP="00EB2350">
            <w:pPr>
              <w:jc w:val="center"/>
              <w:rPr>
                <w:b/>
              </w:rPr>
            </w:pPr>
            <w:r w:rsidRPr="00EB2350">
              <w:rPr>
                <w:b/>
              </w:rPr>
              <w:t>618</w:t>
            </w:r>
          </w:p>
        </w:tc>
        <w:tc>
          <w:tcPr>
            <w:tcW w:w="0" w:type="auto"/>
          </w:tcPr>
          <w:p w:rsidR="00EB2350" w:rsidRPr="00EB2350" w:rsidRDefault="00EB2350" w:rsidP="00EB2350">
            <w:pPr>
              <w:jc w:val="center"/>
              <w:rPr>
                <w:b/>
              </w:rPr>
            </w:pPr>
            <w:r w:rsidRPr="00EB2350">
              <w:rPr>
                <w:b/>
              </w:rPr>
              <w:t>334</w:t>
            </w:r>
          </w:p>
        </w:tc>
        <w:tc>
          <w:tcPr>
            <w:tcW w:w="0" w:type="auto"/>
          </w:tcPr>
          <w:p w:rsidR="00EB2350" w:rsidRPr="00EB2350" w:rsidRDefault="00EB2350" w:rsidP="00EB2350">
            <w:pPr>
              <w:jc w:val="center"/>
              <w:rPr>
                <w:b/>
              </w:rPr>
            </w:pPr>
            <w:r w:rsidRPr="00EB2350">
              <w:rPr>
                <w:b/>
              </w:rPr>
              <w:t>2397</w:t>
            </w:r>
          </w:p>
        </w:tc>
        <w:tc>
          <w:tcPr>
            <w:tcW w:w="0" w:type="auto"/>
          </w:tcPr>
          <w:p w:rsidR="00EB2350" w:rsidRPr="00EB2350" w:rsidRDefault="00EB2350" w:rsidP="00EB2350">
            <w:pPr>
              <w:jc w:val="center"/>
              <w:rPr>
                <w:b/>
              </w:rPr>
            </w:pPr>
            <w:r w:rsidRPr="00EB2350">
              <w:rPr>
                <w:b/>
              </w:rPr>
              <w:t>21</w:t>
            </w:r>
          </w:p>
        </w:tc>
        <w:tc>
          <w:tcPr>
            <w:tcW w:w="0" w:type="auto"/>
          </w:tcPr>
          <w:p w:rsidR="00EB2350" w:rsidRPr="00EB2350" w:rsidRDefault="00EB2350" w:rsidP="00EB2350">
            <w:pPr>
              <w:jc w:val="center"/>
              <w:rPr>
                <w:b/>
              </w:rPr>
            </w:pPr>
            <w:r w:rsidRPr="00EB2350">
              <w:rPr>
                <w:b/>
              </w:rPr>
              <w:t>556</w:t>
            </w:r>
          </w:p>
        </w:tc>
        <w:tc>
          <w:tcPr>
            <w:tcW w:w="0" w:type="auto"/>
          </w:tcPr>
          <w:p w:rsidR="00EB2350" w:rsidRPr="00EB2350" w:rsidRDefault="00EB2350" w:rsidP="00EB2350">
            <w:pPr>
              <w:jc w:val="center"/>
              <w:rPr>
                <w:b/>
              </w:rPr>
            </w:pPr>
            <w:r w:rsidRPr="00EB2350">
              <w:rPr>
                <w:b/>
              </w:rPr>
              <w:t>4203</w:t>
            </w:r>
          </w:p>
        </w:tc>
      </w:tr>
      <w:bookmarkEnd w:id="0"/>
      <w:bookmarkEnd w:id="1"/>
    </w:tbl>
    <w:p w:rsidR="00EB2350" w:rsidRDefault="00EB2350" w:rsidP="00EB2350">
      <w:pPr>
        <w:jc w:val="center"/>
        <w:rPr>
          <w:b/>
        </w:rPr>
      </w:pPr>
    </w:p>
    <w:p w:rsidR="00EB2350" w:rsidRDefault="00EB2350" w:rsidP="00EB2350">
      <w:pPr>
        <w:jc w:val="center"/>
        <w:rPr>
          <w:b/>
        </w:rPr>
      </w:pPr>
    </w:p>
    <w:p w:rsidR="00EB2350" w:rsidRDefault="00EB2350" w:rsidP="00EB2350">
      <w:pPr>
        <w:jc w:val="center"/>
        <w:rPr>
          <w:b/>
        </w:rPr>
      </w:pPr>
    </w:p>
    <w:p w:rsidR="00EB2350" w:rsidRDefault="00EB2350" w:rsidP="00EB2350">
      <w:pPr>
        <w:jc w:val="center"/>
        <w:rPr>
          <w:b/>
        </w:rPr>
      </w:pPr>
      <w:r>
        <w:rPr>
          <w:b/>
        </w:rPr>
        <w:t>2010 Funded Day</w:t>
      </w:r>
    </w:p>
    <w:p w:rsidR="00EB2350" w:rsidRDefault="00EB2350" w:rsidP="00EB2350">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506"/>
        <w:gridCol w:w="506"/>
        <w:gridCol w:w="506"/>
        <w:gridCol w:w="576"/>
        <w:gridCol w:w="506"/>
        <w:gridCol w:w="506"/>
        <w:gridCol w:w="576"/>
        <w:gridCol w:w="576"/>
        <w:gridCol w:w="696"/>
        <w:gridCol w:w="506"/>
        <w:gridCol w:w="576"/>
        <w:gridCol w:w="696"/>
      </w:tblGrid>
      <w:tr w:rsidR="00EB2350" w:rsidRPr="00EB2350">
        <w:trPr>
          <w:cantSplit/>
          <w:trHeight w:val="1358"/>
          <w:jc w:val="center"/>
        </w:trPr>
        <w:tc>
          <w:tcPr>
            <w:tcW w:w="0" w:type="auto"/>
            <w:textDirection w:val="btLr"/>
          </w:tcPr>
          <w:p w:rsidR="00EB2350" w:rsidRPr="00EB2350" w:rsidRDefault="00EB2350" w:rsidP="00EB2350">
            <w:pPr>
              <w:ind w:left="113" w:right="113"/>
              <w:jc w:val="center"/>
              <w:rPr>
                <w:b/>
              </w:rPr>
            </w:pPr>
            <w:r w:rsidRPr="00EB2350">
              <w:rPr>
                <w:b/>
              </w:rPr>
              <w:t>Agency</w:t>
            </w:r>
          </w:p>
        </w:tc>
        <w:tc>
          <w:tcPr>
            <w:tcW w:w="0" w:type="auto"/>
            <w:textDirection w:val="btLr"/>
          </w:tcPr>
          <w:p w:rsidR="00EB2350" w:rsidRPr="00EB2350" w:rsidRDefault="00EB2350" w:rsidP="00EB2350">
            <w:pPr>
              <w:ind w:left="113" w:right="113"/>
              <w:jc w:val="center"/>
              <w:rPr>
                <w:b/>
              </w:rPr>
            </w:pPr>
            <w:r w:rsidRPr="00EB2350">
              <w:rPr>
                <w:b/>
              </w:rPr>
              <w:t>ACOE</w:t>
            </w:r>
          </w:p>
        </w:tc>
        <w:tc>
          <w:tcPr>
            <w:tcW w:w="0" w:type="auto"/>
            <w:textDirection w:val="btLr"/>
          </w:tcPr>
          <w:p w:rsidR="00EB2350" w:rsidRPr="00EB2350" w:rsidRDefault="00EB2350" w:rsidP="00EB2350">
            <w:pPr>
              <w:ind w:left="113" w:right="113"/>
              <w:jc w:val="center"/>
              <w:rPr>
                <w:b/>
              </w:rPr>
            </w:pPr>
            <w:r w:rsidRPr="00EB2350">
              <w:rPr>
                <w:b/>
              </w:rPr>
              <w:t>DOE</w:t>
            </w:r>
          </w:p>
        </w:tc>
        <w:tc>
          <w:tcPr>
            <w:tcW w:w="0" w:type="auto"/>
            <w:textDirection w:val="btLr"/>
          </w:tcPr>
          <w:p w:rsidR="00EB2350" w:rsidRPr="00EB2350" w:rsidRDefault="00EB2350" w:rsidP="00EB2350">
            <w:pPr>
              <w:ind w:left="113" w:right="113"/>
              <w:jc w:val="center"/>
              <w:rPr>
                <w:b/>
              </w:rPr>
            </w:pPr>
            <w:r w:rsidRPr="00EB2350">
              <w:rPr>
                <w:b/>
              </w:rPr>
              <w:t>EPA</w:t>
            </w:r>
          </w:p>
        </w:tc>
        <w:tc>
          <w:tcPr>
            <w:tcW w:w="0" w:type="auto"/>
            <w:textDirection w:val="btLr"/>
          </w:tcPr>
          <w:p w:rsidR="00EB2350" w:rsidRPr="00EB2350" w:rsidRDefault="00EB2350" w:rsidP="00EB2350">
            <w:pPr>
              <w:ind w:left="113" w:right="113"/>
              <w:jc w:val="center"/>
              <w:rPr>
                <w:b/>
              </w:rPr>
            </w:pPr>
            <w:r w:rsidRPr="00EB2350">
              <w:rPr>
                <w:b/>
              </w:rPr>
              <w:t>Inst/State</w:t>
            </w:r>
          </w:p>
        </w:tc>
        <w:tc>
          <w:tcPr>
            <w:tcW w:w="0" w:type="auto"/>
            <w:textDirection w:val="btLr"/>
          </w:tcPr>
          <w:p w:rsidR="00EB2350" w:rsidRPr="00EB2350" w:rsidRDefault="00EB2350" w:rsidP="00EB2350">
            <w:pPr>
              <w:ind w:left="113" w:right="113"/>
              <w:jc w:val="center"/>
              <w:rPr>
                <w:b/>
              </w:rPr>
            </w:pPr>
            <w:r w:rsidRPr="00EB2350">
              <w:rPr>
                <w:b/>
              </w:rPr>
              <w:t>BOEMRE</w:t>
            </w:r>
          </w:p>
        </w:tc>
        <w:tc>
          <w:tcPr>
            <w:tcW w:w="0" w:type="auto"/>
            <w:textDirection w:val="btLr"/>
          </w:tcPr>
          <w:p w:rsidR="00EB2350" w:rsidRPr="00EB2350" w:rsidRDefault="00EB2350" w:rsidP="00EB2350">
            <w:pPr>
              <w:ind w:left="113" w:right="113"/>
              <w:jc w:val="center"/>
              <w:rPr>
                <w:b/>
              </w:rPr>
            </w:pPr>
            <w:r w:rsidRPr="00EB2350">
              <w:rPr>
                <w:b/>
              </w:rPr>
              <w:t>NASA</w:t>
            </w:r>
          </w:p>
        </w:tc>
        <w:tc>
          <w:tcPr>
            <w:tcW w:w="0" w:type="auto"/>
            <w:textDirection w:val="btLr"/>
          </w:tcPr>
          <w:p w:rsidR="00EB2350" w:rsidRPr="00EB2350" w:rsidRDefault="00EB2350" w:rsidP="00EB2350">
            <w:pPr>
              <w:ind w:left="113" w:right="113"/>
              <w:jc w:val="center"/>
              <w:rPr>
                <w:b/>
              </w:rPr>
            </w:pPr>
            <w:r w:rsidRPr="00EB2350">
              <w:rPr>
                <w:b/>
              </w:rPr>
              <w:t>NAVY</w:t>
            </w:r>
          </w:p>
        </w:tc>
        <w:tc>
          <w:tcPr>
            <w:tcW w:w="0" w:type="auto"/>
            <w:textDirection w:val="btLr"/>
          </w:tcPr>
          <w:p w:rsidR="00EB2350" w:rsidRPr="00EB2350" w:rsidRDefault="00EB2350" w:rsidP="00EB2350">
            <w:pPr>
              <w:ind w:left="113" w:right="113"/>
              <w:jc w:val="center"/>
              <w:rPr>
                <w:b/>
              </w:rPr>
            </w:pPr>
            <w:r w:rsidRPr="00EB2350">
              <w:rPr>
                <w:b/>
              </w:rPr>
              <w:t>NOAA</w:t>
            </w:r>
          </w:p>
        </w:tc>
        <w:tc>
          <w:tcPr>
            <w:tcW w:w="0" w:type="auto"/>
            <w:textDirection w:val="btLr"/>
          </w:tcPr>
          <w:p w:rsidR="00EB2350" w:rsidRPr="00EB2350" w:rsidRDefault="00EB2350" w:rsidP="00EB2350">
            <w:pPr>
              <w:ind w:left="113" w:right="113"/>
              <w:jc w:val="center"/>
              <w:rPr>
                <w:b/>
              </w:rPr>
            </w:pPr>
            <w:r w:rsidRPr="00EB2350">
              <w:rPr>
                <w:b/>
              </w:rPr>
              <w:t>NSF</w:t>
            </w:r>
          </w:p>
        </w:tc>
        <w:tc>
          <w:tcPr>
            <w:tcW w:w="0" w:type="auto"/>
            <w:textDirection w:val="btLr"/>
          </w:tcPr>
          <w:p w:rsidR="00EB2350" w:rsidRPr="00EB2350" w:rsidRDefault="00EB2350" w:rsidP="00EB2350">
            <w:pPr>
              <w:ind w:left="113" w:right="113"/>
              <w:jc w:val="center"/>
              <w:rPr>
                <w:b/>
              </w:rPr>
            </w:pPr>
            <w:r w:rsidRPr="00EB2350">
              <w:rPr>
                <w:b/>
              </w:rPr>
              <w:t>USGS</w:t>
            </w:r>
          </w:p>
        </w:tc>
        <w:tc>
          <w:tcPr>
            <w:tcW w:w="0" w:type="auto"/>
            <w:textDirection w:val="btLr"/>
          </w:tcPr>
          <w:p w:rsidR="00EB2350" w:rsidRPr="00EB2350" w:rsidRDefault="00EB2350" w:rsidP="00EB2350">
            <w:pPr>
              <w:ind w:left="113" w:right="113"/>
              <w:jc w:val="center"/>
              <w:rPr>
                <w:b/>
              </w:rPr>
            </w:pPr>
            <w:r w:rsidRPr="00EB2350">
              <w:rPr>
                <w:b/>
              </w:rPr>
              <w:t>Other</w:t>
            </w:r>
          </w:p>
        </w:tc>
        <w:tc>
          <w:tcPr>
            <w:tcW w:w="0" w:type="auto"/>
            <w:textDirection w:val="btLr"/>
          </w:tcPr>
          <w:p w:rsidR="00EB2350" w:rsidRPr="00EB2350" w:rsidRDefault="00EB2350" w:rsidP="00EB2350">
            <w:pPr>
              <w:ind w:left="113" w:right="113"/>
              <w:jc w:val="center"/>
              <w:rPr>
                <w:b/>
              </w:rPr>
            </w:pPr>
            <w:r w:rsidRPr="00EB2350">
              <w:rPr>
                <w:b/>
              </w:rPr>
              <w:t>Total</w:t>
            </w:r>
          </w:p>
        </w:tc>
      </w:tr>
      <w:tr w:rsidR="00EB2350" w:rsidRPr="00EB2350">
        <w:trPr>
          <w:jc w:val="center"/>
        </w:trPr>
        <w:tc>
          <w:tcPr>
            <w:tcW w:w="0" w:type="auto"/>
          </w:tcPr>
          <w:p w:rsidR="00EB2350" w:rsidRPr="00EB2350" w:rsidRDefault="00EB2350" w:rsidP="00EB2350">
            <w:pPr>
              <w:jc w:val="center"/>
              <w:rPr>
                <w:b/>
              </w:rPr>
            </w:pPr>
            <w:r w:rsidRPr="00EB2350">
              <w:rPr>
                <w:b/>
              </w:rPr>
              <w:t>Days</w:t>
            </w:r>
          </w:p>
        </w:tc>
        <w:tc>
          <w:tcPr>
            <w:tcW w:w="0" w:type="auto"/>
          </w:tcPr>
          <w:p w:rsidR="00EB2350" w:rsidRPr="00EB2350" w:rsidRDefault="00EB2350" w:rsidP="00EB2350">
            <w:pPr>
              <w:jc w:val="center"/>
              <w:rPr>
                <w:b/>
              </w:rPr>
            </w:pPr>
            <w:r w:rsidRPr="00EB2350">
              <w:rPr>
                <w:b/>
              </w:rPr>
              <w:t>6</w:t>
            </w:r>
          </w:p>
        </w:tc>
        <w:tc>
          <w:tcPr>
            <w:tcW w:w="0" w:type="auto"/>
          </w:tcPr>
          <w:p w:rsidR="00EB2350" w:rsidRPr="00EB2350" w:rsidRDefault="00EB2350" w:rsidP="00EB2350">
            <w:pPr>
              <w:jc w:val="center"/>
              <w:rPr>
                <w:b/>
              </w:rPr>
            </w:pPr>
            <w:r w:rsidRPr="00EB2350">
              <w:rPr>
                <w:b/>
              </w:rPr>
              <w:t>3</w:t>
            </w:r>
          </w:p>
        </w:tc>
        <w:tc>
          <w:tcPr>
            <w:tcW w:w="0" w:type="auto"/>
          </w:tcPr>
          <w:p w:rsidR="00EB2350" w:rsidRPr="00EB2350" w:rsidRDefault="00EB2350" w:rsidP="00EB2350">
            <w:pPr>
              <w:jc w:val="center"/>
              <w:rPr>
                <w:b/>
              </w:rPr>
            </w:pPr>
            <w:r w:rsidRPr="00EB2350">
              <w:rPr>
                <w:b/>
              </w:rPr>
              <w:t>3</w:t>
            </w:r>
          </w:p>
        </w:tc>
        <w:tc>
          <w:tcPr>
            <w:tcW w:w="0" w:type="auto"/>
          </w:tcPr>
          <w:p w:rsidR="00EB2350" w:rsidRPr="00EB2350" w:rsidRDefault="00EB2350" w:rsidP="00EB2350">
            <w:pPr>
              <w:jc w:val="center"/>
              <w:rPr>
                <w:b/>
              </w:rPr>
            </w:pPr>
            <w:r w:rsidRPr="00EB2350">
              <w:rPr>
                <w:b/>
              </w:rPr>
              <w:t>183</w:t>
            </w:r>
          </w:p>
        </w:tc>
        <w:tc>
          <w:tcPr>
            <w:tcW w:w="0" w:type="auto"/>
          </w:tcPr>
          <w:p w:rsidR="00EB2350" w:rsidRPr="00EB2350" w:rsidRDefault="00EB2350" w:rsidP="00EB2350">
            <w:pPr>
              <w:jc w:val="center"/>
              <w:rPr>
                <w:b/>
              </w:rPr>
            </w:pPr>
            <w:r w:rsidRPr="00EB2350">
              <w:rPr>
                <w:b/>
              </w:rPr>
              <w:t>63</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487</w:t>
            </w:r>
          </w:p>
        </w:tc>
        <w:tc>
          <w:tcPr>
            <w:tcW w:w="0" w:type="auto"/>
          </w:tcPr>
          <w:p w:rsidR="00EB2350" w:rsidRPr="00EB2350" w:rsidRDefault="00EB2350" w:rsidP="00EB2350">
            <w:pPr>
              <w:jc w:val="center"/>
              <w:rPr>
                <w:b/>
              </w:rPr>
            </w:pPr>
            <w:r w:rsidRPr="00EB2350">
              <w:rPr>
                <w:b/>
              </w:rPr>
              <w:t>518</w:t>
            </w:r>
          </w:p>
        </w:tc>
        <w:tc>
          <w:tcPr>
            <w:tcW w:w="0" w:type="auto"/>
          </w:tcPr>
          <w:p w:rsidR="00EB2350" w:rsidRPr="00EB2350" w:rsidRDefault="00EB2350" w:rsidP="00EB2350">
            <w:pPr>
              <w:jc w:val="center"/>
              <w:rPr>
                <w:b/>
              </w:rPr>
            </w:pPr>
            <w:r w:rsidRPr="00EB2350">
              <w:rPr>
                <w:b/>
              </w:rPr>
              <w:t>2515</w:t>
            </w:r>
          </w:p>
        </w:tc>
        <w:tc>
          <w:tcPr>
            <w:tcW w:w="0" w:type="auto"/>
          </w:tcPr>
          <w:p w:rsidR="00EB2350" w:rsidRPr="00EB2350" w:rsidRDefault="00EB2350" w:rsidP="00EB2350">
            <w:pPr>
              <w:jc w:val="center"/>
              <w:rPr>
                <w:b/>
              </w:rPr>
            </w:pPr>
            <w:r w:rsidRPr="00EB2350">
              <w:rPr>
                <w:b/>
              </w:rPr>
              <w:t>20</w:t>
            </w:r>
          </w:p>
        </w:tc>
        <w:tc>
          <w:tcPr>
            <w:tcW w:w="0" w:type="auto"/>
          </w:tcPr>
          <w:p w:rsidR="00EB2350" w:rsidRPr="00EB2350" w:rsidRDefault="00EB2350" w:rsidP="00EB2350">
            <w:pPr>
              <w:jc w:val="center"/>
              <w:rPr>
                <w:b/>
              </w:rPr>
            </w:pPr>
            <w:r w:rsidRPr="00EB2350">
              <w:rPr>
                <w:b/>
              </w:rPr>
              <w:t>213</w:t>
            </w:r>
          </w:p>
        </w:tc>
        <w:tc>
          <w:tcPr>
            <w:tcW w:w="0" w:type="auto"/>
          </w:tcPr>
          <w:p w:rsidR="00EB2350" w:rsidRPr="00EB2350" w:rsidRDefault="00EB2350" w:rsidP="00EB2350">
            <w:pPr>
              <w:jc w:val="center"/>
              <w:rPr>
                <w:b/>
              </w:rPr>
            </w:pPr>
            <w:r w:rsidRPr="00EB2350">
              <w:rPr>
                <w:b/>
              </w:rPr>
              <w:t>4011</w:t>
            </w:r>
          </w:p>
        </w:tc>
      </w:tr>
    </w:tbl>
    <w:p w:rsidR="00EB2350" w:rsidRDefault="00EB2350" w:rsidP="00EB2350">
      <w:pPr>
        <w:jc w:val="center"/>
        <w:rPr>
          <w:b/>
        </w:rPr>
      </w:pPr>
    </w:p>
    <w:p w:rsidR="00EB2350" w:rsidRDefault="00EB2350" w:rsidP="00EB2350">
      <w:pPr>
        <w:jc w:val="center"/>
        <w:rPr>
          <w:b/>
        </w:rPr>
      </w:pPr>
    </w:p>
    <w:p w:rsidR="00EB2350" w:rsidRDefault="00EB2350" w:rsidP="00EB2350">
      <w:pPr>
        <w:jc w:val="center"/>
        <w:rPr>
          <w:b/>
        </w:rPr>
      </w:pPr>
    </w:p>
    <w:p w:rsidR="00EB2350" w:rsidRPr="00B442D0" w:rsidRDefault="00EB2350" w:rsidP="00EB2350">
      <w:pPr>
        <w:rPr>
          <w:b/>
        </w:rPr>
      </w:pPr>
    </w:p>
    <w:p w:rsidR="00EB2350" w:rsidRDefault="00EB2350" w:rsidP="00EB2350">
      <w:pPr>
        <w:spacing w:after="120"/>
        <w:jc w:val="center"/>
        <w:rPr>
          <w:b/>
        </w:rPr>
      </w:pPr>
    </w:p>
    <w:p w:rsidR="00EB2350" w:rsidRDefault="00EB2350" w:rsidP="00EB2350">
      <w:pPr>
        <w:spacing w:after="120"/>
        <w:jc w:val="center"/>
        <w:rPr>
          <w:b/>
        </w:rPr>
      </w:pPr>
      <w:r w:rsidRPr="00207AA0">
        <w:rPr>
          <w:b/>
        </w:rPr>
        <w:t>2011 P</w:t>
      </w:r>
      <w:r>
        <w:rPr>
          <w:b/>
        </w:rPr>
        <w:t>ublished</w:t>
      </w:r>
      <w:r w:rsidRPr="00207AA0">
        <w:rPr>
          <w:b/>
        </w:rPr>
        <w:t xml:space="preserve"> Days</w:t>
      </w:r>
      <w:r>
        <w:rPr>
          <w:b/>
        </w:rPr>
        <w:t>, (as of 18 Aug. 2011)</w:t>
      </w:r>
    </w:p>
    <w:p w:rsidR="00EB2350" w:rsidRDefault="00EB2350" w:rsidP="00EB2350">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506"/>
        <w:gridCol w:w="506"/>
        <w:gridCol w:w="506"/>
        <w:gridCol w:w="576"/>
        <w:gridCol w:w="506"/>
        <w:gridCol w:w="506"/>
        <w:gridCol w:w="576"/>
        <w:gridCol w:w="576"/>
        <w:gridCol w:w="696"/>
        <w:gridCol w:w="506"/>
        <w:gridCol w:w="576"/>
        <w:gridCol w:w="696"/>
      </w:tblGrid>
      <w:tr w:rsidR="00EB2350" w:rsidRPr="00EB2350">
        <w:trPr>
          <w:cantSplit/>
          <w:trHeight w:val="1358"/>
          <w:jc w:val="center"/>
        </w:trPr>
        <w:tc>
          <w:tcPr>
            <w:tcW w:w="0" w:type="auto"/>
            <w:textDirection w:val="btLr"/>
          </w:tcPr>
          <w:p w:rsidR="00EB2350" w:rsidRPr="00EB2350" w:rsidRDefault="00EB2350" w:rsidP="00EB2350">
            <w:pPr>
              <w:ind w:left="113" w:right="113"/>
              <w:jc w:val="center"/>
              <w:rPr>
                <w:b/>
              </w:rPr>
            </w:pPr>
            <w:r w:rsidRPr="00EB2350">
              <w:rPr>
                <w:b/>
              </w:rPr>
              <w:t>Agency</w:t>
            </w:r>
          </w:p>
        </w:tc>
        <w:tc>
          <w:tcPr>
            <w:tcW w:w="0" w:type="auto"/>
            <w:textDirection w:val="btLr"/>
          </w:tcPr>
          <w:p w:rsidR="00EB2350" w:rsidRPr="00EB2350" w:rsidRDefault="00EB2350" w:rsidP="00EB2350">
            <w:pPr>
              <w:ind w:left="113" w:right="113"/>
              <w:jc w:val="center"/>
              <w:rPr>
                <w:b/>
              </w:rPr>
            </w:pPr>
            <w:r w:rsidRPr="00EB2350">
              <w:rPr>
                <w:b/>
              </w:rPr>
              <w:t>ACOE</w:t>
            </w:r>
          </w:p>
        </w:tc>
        <w:tc>
          <w:tcPr>
            <w:tcW w:w="0" w:type="auto"/>
            <w:textDirection w:val="btLr"/>
          </w:tcPr>
          <w:p w:rsidR="00EB2350" w:rsidRPr="00EB2350" w:rsidRDefault="00EB2350" w:rsidP="00EB2350">
            <w:pPr>
              <w:ind w:left="113" w:right="113"/>
              <w:jc w:val="center"/>
              <w:rPr>
                <w:b/>
              </w:rPr>
            </w:pPr>
            <w:r w:rsidRPr="00EB2350">
              <w:rPr>
                <w:b/>
              </w:rPr>
              <w:t>DOE</w:t>
            </w:r>
          </w:p>
        </w:tc>
        <w:tc>
          <w:tcPr>
            <w:tcW w:w="0" w:type="auto"/>
            <w:textDirection w:val="btLr"/>
          </w:tcPr>
          <w:p w:rsidR="00EB2350" w:rsidRPr="00EB2350" w:rsidRDefault="00EB2350" w:rsidP="00EB2350">
            <w:pPr>
              <w:ind w:left="113" w:right="113"/>
              <w:jc w:val="center"/>
              <w:rPr>
                <w:b/>
              </w:rPr>
            </w:pPr>
            <w:r w:rsidRPr="00EB2350">
              <w:rPr>
                <w:b/>
              </w:rPr>
              <w:t>EPA</w:t>
            </w:r>
          </w:p>
        </w:tc>
        <w:tc>
          <w:tcPr>
            <w:tcW w:w="0" w:type="auto"/>
            <w:textDirection w:val="btLr"/>
          </w:tcPr>
          <w:p w:rsidR="00EB2350" w:rsidRPr="00EB2350" w:rsidRDefault="00EB2350" w:rsidP="00EB2350">
            <w:pPr>
              <w:ind w:left="113" w:right="113"/>
              <w:jc w:val="center"/>
              <w:rPr>
                <w:b/>
              </w:rPr>
            </w:pPr>
            <w:r w:rsidRPr="00EB2350">
              <w:rPr>
                <w:b/>
              </w:rPr>
              <w:t>Inst/State</w:t>
            </w:r>
          </w:p>
        </w:tc>
        <w:tc>
          <w:tcPr>
            <w:tcW w:w="0" w:type="auto"/>
            <w:textDirection w:val="btLr"/>
          </w:tcPr>
          <w:p w:rsidR="00EB2350" w:rsidRPr="00EB2350" w:rsidRDefault="00EB2350" w:rsidP="00EB2350">
            <w:pPr>
              <w:ind w:left="113" w:right="113"/>
              <w:jc w:val="center"/>
              <w:rPr>
                <w:b/>
              </w:rPr>
            </w:pPr>
            <w:r w:rsidRPr="00EB2350">
              <w:rPr>
                <w:b/>
              </w:rPr>
              <w:t>BOEMRE</w:t>
            </w:r>
          </w:p>
        </w:tc>
        <w:tc>
          <w:tcPr>
            <w:tcW w:w="0" w:type="auto"/>
            <w:textDirection w:val="btLr"/>
          </w:tcPr>
          <w:p w:rsidR="00EB2350" w:rsidRPr="00EB2350" w:rsidRDefault="00EB2350" w:rsidP="00EB2350">
            <w:pPr>
              <w:ind w:left="113" w:right="113"/>
              <w:jc w:val="center"/>
              <w:rPr>
                <w:b/>
              </w:rPr>
            </w:pPr>
            <w:r w:rsidRPr="00EB2350">
              <w:rPr>
                <w:b/>
              </w:rPr>
              <w:t>NASA</w:t>
            </w:r>
          </w:p>
        </w:tc>
        <w:tc>
          <w:tcPr>
            <w:tcW w:w="0" w:type="auto"/>
            <w:textDirection w:val="btLr"/>
          </w:tcPr>
          <w:p w:rsidR="00EB2350" w:rsidRPr="00EB2350" w:rsidRDefault="00EB2350" w:rsidP="00EB2350">
            <w:pPr>
              <w:ind w:left="113" w:right="113"/>
              <w:jc w:val="center"/>
              <w:rPr>
                <w:b/>
              </w:rPr>
            </w:pPr>
            <w:r w:rsidRPr="00EB2350">
              <w:rPr>
                <w:b/>
              </w:rPr>
              <w:t>NAVY</w:t>
            </w:r>
          </w:p>
        </w:tc>
        <w:tc>
          <w:tcPr>
            <w:tcW w:w="0" w:type="auto"/>
            <w:textDirection w:val="btLr"/>
          </w:tcPr>
          <w:p w:rsidR="00EB2350" w:rsidRPr="00EB2350" w:rsidRDefault="00EB2350" w:rsidP="00EB2350">
            <w:pPr>
              <w:ind w:left="113" w:right="113"/>
              <w:jc w:val="center"/>
              <w:rPr>
                <w:b/>
              </w:rPr>
            </w:pPr>
            <w:r w:rsidRPr="00EB2350">
              <w:rPr>
                <w:b/>
              </w:rPr>
              <w:t>NOAA</w:t>
            </w:r>
          </w:p>
        </w:tc>
        <w:tc>
          <w:tcPr>
            <w:tcW w:w="0" w:type="auto"/>
            <w:textDirection w:val="btLr"/>
          </w:tcPr>
          <w:p w:rsidR="00EB2350" w:rsidRPr="00EB2350" w:rsidRDefault="00EB2350" w:rsidP="00EB2350">
            <w:pPr>
              <w:ind w:left="113" w:right="113"/>
              <w:jc w:val="center"/>
              <w:rPr>
                <w:b/>
              </w:rPr>
            </w:pPr>
            <w:r w:rsidRPr="00EB2350">
              <w:rPr>
                <w:b/>
              </w:rPr>
              <w:t>NSF</w:t>
            </w:r>
          </w:p>
        </w:tc>
        <w:tc>
          <w:tcPr>
            <w:tcW w:w="0" w:type="auto"/>
            <w:textDirection w:val="btLr"/>
          </w:tcPr>
          <w:p w:rsidR="00EB2350" w:rsidRPr="00EB2350" w:rsidRDefault="00EB2350" w:rsidP="00EB2350">
            <w:pPr>
              <w:ind w:left="113" w:right="113"/>
              <w:jc w:val="center"/>
              <w:rPr>
                <w:b/>
              </w:rPr>
            </w:pPr>
            <w:r w:rsidRPr="00EB2350">
              <w:rPr>
                <w:b/>
              </w:rPr>
              <w:t>USGS</w:t>
            </w:r>
          </w:p>
        </w:tc>
        <w:tc>
          <w:tcPr>
            <w:tcW w:w="0" w:type="auto"/>
            <w:textDirection w:val="btLr"/>
          </w:tcPr>
          <w:p w:rsidR="00EB2350" w:rsidRPr="00EB2350" w:rsidRDefault="00EB2350" w:rsidP="00EB2350">
            <w:pPr>
              <w:ind w:left="113" w:right="113"/>
              <w:jc w:val="center"/>
              <w:rPr>
                <w:b/>
              </w:rPr>
            </w:pPr>
            <w:r w:rsidRPr="00EB2350">
              <w:rPr>
                <w:b/>
              </w:rPr>
              <w:t>Other</w:t>
            </w:r>
          </w:p>
        </w:tc>
        <w:tc>
          <w:tcPr>
            <w:tcW w:w="0" w:type="auto"/>
            <w:textDirection w:val="btLr"/>
          </w:tcPr>
          <w:p w:rsidR="00EB2350" w:rsidRPr="00EB2350" w:rsidRDefault="00EB2350" w:rsidP="00EB2350">
            <w:pPr>
              <w:ind w:left="113" w:right="113"/>
              <w:jc w:val="center"/>
              <w:rPr>
                <w:b/>
              </w:rPr>
            </w:pPr>
            <w:r w:rsidRPr="00EB2350">
              <w:rPr>
                <w:b/>
              </w:rPr>
              <w:t>Total</w:t>
            </w:r>
          </w:p>
        </w:tc>
      </w:tr>
      <w:tr w:rsidR="00EB2350" w:rsidRPr="00EB2350">
        <w:trPr>
          <w:jc w:val="center"/>
        </w:trPr>
        <w:tc>
          <w:tcPr>
            <w:tcW w:w="0" w:type="auto"/>
          </w:tcPr>
          <w:p w:rsidR="00EB2350" w:rsidRPr="00EB2350" w:rsidRDefault="00EB2350" w:rsidP="00EB2350">
            <w:pPr>
              <w:jc w:val="center"/>
              <w:rPr>
                <w:b/>
              </w:rPr>
            </w:pPr>
            <w:r w:rsidRPr="00EB2350">
              <w:rPr>
                <w:b/>
              </w:rPr>
              <w:t>Days</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1</w:t>
            </w:r>
          </w:p>
        </w:tc>
        <w:tc>
          <w:tcPr>
            <w:tcW w:w="0" w:type="auto"/>
          </w:tcPr>
          <w:p w:rsidR="00EB2350" w:rsidRPr="00EB2350" w:rsidRDefault="00EB2350" w:rsidP="00EB2350">
            <w:pPr>
              <w:jc w:val="center"/>
              <w:rPr>
                <w:b/>
              </w:rPr>
            </w:pPr>
            <w:r w:rsidRPr="00EB2350">
              <w:rPr>
                <w:b/>
              </w:rPr>
              <w:t>204</w:t>
            </w:r>
          </w:p>
        </w:tc>
        <w:tc>
          <w:tcPr>
            <w:tcW w:w="0" w:type="auto"/>
          </w:tcPr>
          <w:p w:rsidR="00EB2350" w:rsidRPr="00EB2350" w:rsidRDefault="00EB2350" w:rsidP="00EB2350">
            <w:pPr>
              <w:jc w:val="center"/>
              <w:rPr>
                <w:b/>
              </w:rPr>
            </w:pPr>
            <w:r w:rsidRPr="00EB2350">
              <w:rPr>
                <w:b/>
              </w:rPr>
              <w:t>40</w:t>
            </w:r>
          </w:p>
        </w:tc>
        <w:tc>
          <w:tcPr>
            <w:tcW w:w="0" w:type="auto"/>
          </w:tcPr>
          <w:p w:rsidR="00EB2350" w:rsidRPr="00EB2350" w:rsidRDefault="00EB2350" w:rsidP="00EB2350">
            <w:pPr>
              <w:jc w:val="center"/>
              <w:rPr>
                <w:b/>
              </w:rPr>
            </w:pPr>
            <w:r w:rsidRPr="00EB2350">
              <w:rPr>
                <w:b/>
              </w:rPr>
              <w:t>2</w:t>
            </w:r>
          </w:p>
        </w:tc>
        <w:tc>
          <w:tcPr>
            <w:tcW w:w="0" w:type="auto"/>
          </w:tcPr>
          <w:p w:rsidR="00EB2350" w:rsidRPr="00EB2350" w:rsidRDefault="00EB2350" w:rsidP="00EB2350">
            <w:pPr>
              <w:jc w:val="center"/>
              <w:rPr>
                <w:b/>
              </w:rPr>
            </w:pPr>
            <w:r w:rsidRPr="00EB2350">
              <w:rPr>
                <w:b/>
              </w:rPr>
              <w:t>509</w:t>
            </w:r>
          </w:p>
        </w:tc>
        <w:tc>
          <w:tcPr>
            <w:tcW w:w="0" w:type="auto"/>
          </w:tcPr>
          <w:p w:rsidR="00EB2350" w:rsidRPr="00EB2350" w:rsidRDefault="00EB2350" w:rsidP="00EB2350">
            <w:pPr>
              <w:jc w:val="center"/>
              <w:rPr>
                <w:b/>
              </w:rPr>
            </w:pPr>
            <w:r w:rsidRPr="00EB2350">
              <w:rPr>
                <w:b/>
              </w:rPr>
              <w:t>505</w:t>
            </w:r>
          </w:p>
        </w:tc>
        <w:tc>
          <w:tcPr>
            <w:tcW w:w="0" w:type="auto"/>
          </w:tcPr>
          <w:p w:rsidR="00EB2350" w:rsidRPr="00EB2350" w:rsidRDefault="00EB2350" w:rsidP="00EB2350">
            <w:pPr>
              <w:jc w:val="center"/>
              <w:rPr>
                <w:b/>
              </w:rPr>
            </w:pPr>
            <w:r w:rsidRPr="00EB2350">
              <w:rPr>
                <w:b/>
              </w:rPr>
              <w:t>2322</w:t>
            </w:r>
          </w:p>
        </w:tc>
        <w:tc>
          <w:tcPr>
            <w:tcW w:w="0" w:type="auto"/>
          </w:tcPr>
          <w:p w:rsidR="00EB2350" w:rsidRPr="00EB2350" w:rsidRDefault="00EB2350" w:rsidP="00EB2350">
            <w:pPr>
              <w:jc w:val="center"/>
              <w:rPr>
                <w:b/>
              </w:rPr>
            </w:pPr>
            <w:r w:rsidRPr="00EB2350">
              <w:rPr>
                <w:b/>
              </w:rPr>
              <w:t>61</w:t>
            </w:r>
          </w:p>
        </w:tc>
        <w:tc>
          <w:tcPr>
            <w:tcW w:w="0" w:type="auto"/>
          </w:tcPr>
          <w:p w:rsidR="00EB2350" w:rsidRPr="00EB2350" w:rsidRDefault="00EB2350" w:rsidP="00EB2350">
            <w:pPr>
              <w:jc w:val="center"/>
              <w:rPr>
                <w:b/>
              </w:rPr>
            </w:pPr>
            <w:r w:rsidRPr="00EB2350">
              <w:rPr>
                <w:b/>
              </w:rPr>
              <w:t>227</w:t>
            </w:r>
          </w:p>
        </w:tc>
        <w:tc>
          <w:tcPr>
            <w:tcW w:w="0" w:type="auto"/>
          </w:tcPr>
          <w:p w:rsidR="00EB2350" w:rsidRPr="00EB2350" w:rsidRDefault="00EB2350" w:rsidP="00EB2350">
            <w:pPr>
              <w:jc w:val="center"/>
              <w:rPr>
                <w:b/>
              </w:rPr>
            </w:pPr>
            <w:r w:rsidRPr="00EB2350">
              <w:rPr>
                <w:b/>
              </w:rPr>
              <w:t>3871</w:t>
            </w:r>
          </w:p>
        </w:tc>
      </w:tr>
    </w:tbl>
    <w:p w:rsidR="00EB2350" w:rsidRDefault="00EB2350" w:rsidP="00EB2350">
      <w:pPr>
        <w:spacing w:after="120"/>
        <w:jc w:val="center"/>
        <w:rPr>
          <w:b/>
        </w:rPr>
      </w:pPr>
    </w:p>
    <w:p w:rsidR="00EB2350" w:rsidRDefault="00EB2350" w:rsidP="00EB2350">
      <w:pPr>
        <w:spacing w:after="120"/>
        <w:jc w:val="center"/>
        <w:rPr>
          <w:b/>
        </w:rPr>
      </w:pPr>
    </w:p>
    <w:p w:rsidR="00EB2350" w:rsidRDefault="00EB2350" w:rsidP="00EB2350">
      <w:pPr>
        <w:jc w:val="center"/>
        <w:rPr>
          <w:b/>
        </w:rPr>
      </w:pPr>
      <w:r>
        <w:rPr>
          <w:b/>
        </w:rPr>
        <w:t xml:space="preserve">2012 Funded </w:t>
      </w:r>
      <w:r w:rsidR="00810D84">
        <w:rPr>
          <w:b/>
        </w:rPr>
        <w:t xml:space="preserve">and Pending </w:t>
      </w:r>
      <w:r>
        <w:rPr>
          <w:b/>
        </w:rPr>
        <w:t>Day</w:t>
      </w:r>
      <w:r w:rsidR="00810D84">
        <w:rPr>
          <w:b/>
        </w:rPr>
        <w:t xml:space="preserve">s (as of September </w:t>
      </w:r>
      <w:r w:rsidR="00B26F82">
        <w:rPr>
          <w:b/>
        </w:rPr>
        <w:t>26</w:t>
      </w:r>
      <w:r w:rsidR="00810D84">
        <w:rPr>
          <w:b/>
        </w:rPr>
        <w:t>, 2011)</w:t>
      </w:r>
    </w:p>
    <w:p w:rsidR="00EB2350" w:rsidRDefault="00EB2350" w:rsidP="00EB2350">
      <w:pPr>
        <w:jc w:val="center"/>
        <w:rPr>
          <w:b/>
        </w:rPr>
      </w:pPr>
    </w:p>
    <w:p w:rsidR="00EB2350" w:rsidRDefault="00EB2350" w:rsidP="00EB235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506"/>
        <w:gridCol w:w="506"/>
        <w:gridCol w:w="506"/>
        <w:gridCol w:w="576"/>
        <w:gridCol w:w="506"/>
        <w:gridCol w:w="506"/>
        <w:gridCol w:w="576"/>
        <w:gridCol w:w="576"/>
        <w:gridCol w:w="696"/>
        <w:gridCol w:w="506"/>
        <w:gridCol w:w="576"/>
        <w:gridCol w:w="696"/>
      </w:tblGrid>
      <w:tr w:rsidR="0003141B" w:rsidRPr="00EB2350">
        <w:trPr>
          <w:cantSplit/>
          <w:trHeight w:val="1358"/>
        </w:trPr>
        <w:tc>
          <w:tcPr>
            <w:tcW w:w="0" w:type="auto"/>
            <w:textDirection w:val="btLr"/>
          </w:tcPr>
          <w:p w:rsidR="00EB2350" w:rsidRPr="00EB2350" w:rsidRDefault="00EB2350" w:rsidP="00EB2350">
            <w:pPr>
              <w:ind w:left="113" w:right="113"/>
              <w:jc w:val="center"/>
              <w:rPr>
                <w:b/>
              </w:rPr>
            </w:pPr>
            <w:r w:rsidRPr="00EB2350">
              <w:rPr>
                <w:b/>
              </w:rPr>
              <w:t>Agency</w:t>
            </w:r>
          </w:p>
        </w:tc>
        <w:tc>
          <w:tcPr>
            <w:tcW w:w="0" w:type="auto"/>
            <w:textDirection w:val="btLr"/>
          </w:tcPr>
          <w:p w:rsidR="00EB2350" w:rsidRPr="00EB2350" w:rsidRDefault="00EB2350" w:rsidP="00EB2350">
            <w:pPr>
              <w:ind w:left="113" w:right="113"/>
              <w:jc w:val="center"/>
              <w:rPr>
                <w:b/>
              </w:rPr>
            </w:pPr>
            <w:r w:rsidRPr="00EB2350">
              <w:rPr>
                <w:b/>
              </w:rPr>
              <w:t>ACOE</w:t>
            </w:r>
          </w:p>
        </w:tc>
        <w:tc>
          <w:tcPr>
            <w:tcW w:w="0" w:type="auto"/>
            <w:textDirection w:val="btLr"/>
          </w:tcPr>
          <w:p w:rsidR="00EB2350" w:rsidRPr="00EB2350" w:rsidRDefault="00EB2350" w:rsidP="00EB2350">
            <w:pPr>
              <w:ind w:left="113" w:right="113"/>
              <w:jc w:val="center"/>
              <w:rPr>
                <w:b/>
              </w:rPr>
            </w:pPr>
            <w:r w:rsidRPr="00EB2350">
              <w:rPr>
                <w:b/>
              </w:rPr>
              <w:t>DOE</w:t>
            </w:r>
          </w:p>
        </w:tc>
        <w:tc>
          <w:tcPr>
            <w:tcW w:w="0" w:type="auto"/>
            <w:textDirection w:val="btLr"/>
          </w:tcPr>
          <w:p w:rsidR="00EB2350" w:rsidRPr="00EB2350" w:rsidRDefault="00EB2350" w:rsidP="00EB2350">
            <w:pPr>
              <w:ind w:left="113" w:right="113"/>
              <w:jc w:val="center"/>
              <w:rPr>
                <w:b/>
              </w:rPr>
            </w:pPr>
            <w:r w:rsidRPr="00EB2350">
              <w:rPr>
                <w:b/>
              </w:rPr>
              <w:t>EPA</w:t>
            </w:r>
          </w:p>
        </w:tc>
        <w:tc>
          <w:tcPr>
            <w:tcW w:w="0" w:type="auto"/>
            <w:textDirection w:val="btLr"/>
          </w:tcPr>
          <w:p w:rsidR="00EB2350" w:rsidRPr="00EB2350" w:rsidRDefault="00EB2350" w:rsidP="00EB2350">
            <w:pPr>
              <w:ind w:left="113" w:right="113"/>
              <w:jc w:val="center"/>
              <w:rPr>
                <w:b/>
              </w:rPr>
            </w:pPr>
            <w:r w:rsidRPr="00EB2350">
              <w:rPr>
                <w:b/>
              </w:rPr>
              <w:t>Inst/State</w:t>
            </w:r>
          </w:p>
        </w:tc>
        <w:tc>
          <w:tcPr>
            <w:tcW w:w="0" w:type="auto"/>
            <w:textDirection w:val="btLr"/>
          </w:tcPr>
          <w:p w:rsidR="00EB2350" w:rsidRPr="00EB2350" w:rsidRDefault="00EB2350" w:rsidP="00EB2350">
            <w:pPr>
              <w:ind w:left="113" w:right="113"/>
              <w:jc w:val="center"/>
              <w:rPr>
                <w:b/>
              </w:rPr>
            </w:pPr>
            <w:r w:rsidRPr="00EB2350">
              <w:rPr>
                <w:b/>
              </w:rPr>
              <w:t>BOEMRE</w:t>
            </w:r>
          </w:p>
        </w:tc>
        <w:tc>
          <w:tcPr>
            <w:tcW w:w="0" w:type="auto"/>
            <w:textDirection w:val="btLr"/>
          </w:tcPr>
          <w:p w:rsidR="00EB2350" w:rsidRPr="00EB2350" w:rsidRDefault="00EB2350" w:rsidP="00EB2350">
            <w:pPr>
              <w:ind w:left="113" w:right="113"/>
              <w:jc w:val="center"/>
              <w:rPr>
                <w:b/>
              </w:rPr>
            </w:pPr>
            <w:r w:rsidRPr="00EB2350">
              <w:rPr>
                <w:b/>
              </w:rPr>
              <w:t>NASA</w:t>
            </w:r>
          </w:p>
        </w:tc>
        <w:tc>
          <w:tcPr>
            <w:tcW w:w="0" w:type="auto"/>
            <w:textDirection w:val="btLr"/>
          </w:tcPr>
          <w:p w:rsidR="00EB2350" w:rsidRPr="00EB2350" w:rsidRDefault="00EB2350" w:rsidP="00EB2350">
            <w:pPr>
              <w:ind w:left="113" w:right="113"/>
              <w:jc w:val="center"/>
              <w:rPr>
                <w:b/>
              </w:rPr>
            </w:pPr>
            <w:r w:rsidRPr="00EB2350">
              <w:rPr>
                <w:b/>
              </w:rPr>
              <w:t>NAVY</w:t>
            </w:r>
          </w:p>
        </w:tc>
        <w:tc>
          <w:tcPr>
            <w:tcW w:w="0" w:type="auto"/>
            <w:textDirection w:val="btLr"/>
          </w:tcPr>
          <w:p w:rsidR="00EB2350" w:rsidRPr="00EB2350" w:rsidRDefault="00EB2350" w:rsidP="00EB2350">
            <w:pPr>
              <w:ind w:left="113" w:right="113"/>
              <w:jc w:val="center"/>
              <w:rPr>
                <w:b/>
              </w:rPr>
            </w:pPr>
            <w:r w:rsidRPr="00EB2350">
              <w:rPr>
                <w:b/>
              </w:rPr>
              <w:t>NOAA</w:t>
            </w:r>
          </w:p>
        </w:tc>
        <w:tc>
          <w:tcPr>
            <w:tcW w:w="0" w:type="auto"/>
            <w:textDirection w:val="btLr"/>
          </w:tcPr>
          <w:p w:rsidR="00EB2350" w:rsidRPr="00EB2350" w:rsidRDefault="00EB2350" w:rsidP="00EB2350">
            <w:pPr>
              <w:ind w:left="113" w:right="113"/>
              <w:jc w:val="center"/>
              <w:rPr>
                <w:b/>
              </w:rPr>
            </w:pPr>
            <w:r w:rsidRPr="00EB2350">
              <w:rPr>
                <w:b/>
              </w:rPr>
              <w:t>NSF</w:t>
            </w:r>
          </w:p>
        </w:tc>
        <w:tc>
          <w:tcPr>
            <w:tcW w:w="0" w:type="auto"/>
            <w:textDirection w:val="btLr"/>
          </w:tcPr>
          <w:p w:rsidR="00EB2350" w:rsidRPr="00EB2350" w:rsidRDefault="00EB2350" w:rsidP="00EB2350">
            <w:pPr>
              <w:ind w:left="113" w:right="113"/>
              <w:jc w:val="center"/>
              <w:rPr>
                <w:b/>
              </w:rPr>
            </w:pPr>
            <w:r w:rsidRPr="00EB2350">
              <w:rPr>
                <w:b/>
              </w:rPr>
              <w:t>USGS</w:t>
            </w:r>
          </w:p>
        </w:tc>
        <w:tc>
          <w:tcPr>
            <w:tcW w:w="0" w:type="auto"/>
            <w:textDirection w:val="btLr"/>
          </w:tcPr>
          <w:p w:rsidR="00EB2350" w:rsidRPr="00EB2350" w:rsidRDefault="00EB2350" w:rsidP="00EB2350">
            <w:pPr>
              <w:ind w:left="113" w:right="113"/>
              <w:jc w:val="center"/>
              <w:rPr>
                <w:b/>
              </w:rPr>
            </w:pPr>
            <w:r w:rsidRPr="00EB2350">
              <w:rPr>
                <w:b/>
              </w:rPr>
              <w:t>Other</w:t>
            </w:r>
          </w:p>
        </w:tc>
        <w:tc>
          <w:tcPr>
            <w:tcW w:w="0" w:type="auto"/>
            <w:textDirection w:val="btLr"/>
          </w:tcPr>
          <w:p w:rsidR="00EB2350" w:rsidRPr="00EB2350" w:rsidRDefault="00EB2350" w:rsidP="00EB2350">
            <w:pPr>
              <w:ind w:left="113" w:right="113"/>
              <w:jc w:val="center"/>
              <w:rPr>
                <w:b/>
              </w:rPr>
            </w:pPr>
            <w:r w:rsidRPr="00EB2350">
              <w:rPr>
                <w:b/>
              </w:rPr>
              <w:t>Total</w:t>
            </w:r>
          </w:p>
        </w:tc>
      </w:tr>
      <w:tr w:rsidR="0003141B" w:rsidRPr="00EB2350">
        <w:tc>
          <w:tcPr>
            <w:tcW w:w="0" w:type="auto"/>
          </w:tcPr>
          <w:p w:rsidR="00EB2350" w:rsidRPr="00EB2350" w:rsidRDefault="00EB2350" w:rsidP="00EB2350">
            <w:pPr>
              <w:jc w:val="center"/>
              <w:rPr>
                <w:b/>
              </w:rPr>
            </w:pPr>
            <w:r w:rsidRPr="00EB2350">
              <w:rPr>
                <w:b/>
              </w:rPr>
              <w:t>Funded Days</w:t>
            </w:r>
          </w:p>
        </w:tc>
        <w:tc>
          <w:tcPr>
            <w:tcW w:w="0" w:type="auto"/>
          </w:tcPr>
          <w:p w:rsidR="00EB2350" w:rsidRPr="00EB2350" w:rsidRDefault="00EB2350" w:rsidP="00EB2350">
            <w:pPr>
              <w:jc w:val="center"/>
              <w:rPr>
                <w:b/>
              </w:rPr>
            </w:pPr>
            <w:r w:rsidRPr="00EB2350">
              <w:rPr>
                <w:b/>
              </w:rPr>
              <w:t>7</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1</w:t>
            </w:r>
            <w:r w:rsidR="0003141B">
              <w:rPr>
                <w:b/>
              </w:rPr>
              <w:t>18</w:t>
            </w:r>
          </w:p>
        </w:tc>
        <w:tc>
          <w:tcPr>
            <w:tcW w:w="0" w:type="auto"/>
          </w:tcPr>
          <w:p w:rsidR="00EB2350" w:rsidRPr="00EB2350" w:rsidRDefault="00EB2350" w:rsidP="00EB2350">
            <w:pPr>
              <w:jc w:val="center"/>
              <w:rPr>
                <w:b/>
              </w:rPr>
            </w:pPr>
            <w:r w:rsidRPr="00EB2350">
              <w:rPr>
                <w:b/>
              </w:rPr>
              <w:t>21</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2</w:t>
            </w:r>
            <w:r w:rsidR="002A5C03">
              <w:rPr>
                <w:b/>
              </w:rPr>
              <w:t>95</w:t>
            </w:r>
          </w:p>
        </w:tc>
        <w:tc>
          <w:tcPr>
            <w:tcW w:w="0" w:type="auto"/>
          </w:tcPr>
          <w:p w:rsidR="00EB2350" w:rsidRPr="00EB2350" w:rsidRDefault="00EB2350" w:rsidP="00EB2350">
            <w:pPr>
              <w:jc w:val="center"/>
              <w:rPr>
                <w:b/>
              </w:rPr>
            </w:pPr>
            <w:r w:rsidRPr="00EB2350">
              <w:rPr>
                <w:b/>
              </w:rPr>
              <w:t>1</w:t>
            </w:r>
            <w:r w:rsidR="002A5C03">
              <w:rPr>
                <w:b/>
              </w:rPr>
              <w:t>21</w:t>
            </w:r>
          </w:p>
        </w:tc>
        <w:tc>
          <w:tcPr>
            <w:tcW w:w="0" w:type="auto"/>
          </w:tcPr>
          <w:p w:rsidR="00EB2350" w:rsidRPr="00EB2350" w:rsidRDefault="00EB2350" w:rsidP="00EB2350">
            <w:pPr>
              <w:jc w:val="center"/>
              <w:rPr>
                <w:b/>
              </w:rPr>
            </w:pPr>
            <w:r w:rsidRPr="00EB2350">
              <w:rPr>
                <w:b/>
              </w:rPr>
              <w:t>1877</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03141B" w:rsidP="00EB2350">
            <w:pPr>
              <w:jc w:val="center"/>
              <w:rPr>
                <w:b/>
              </w:rPr>
            </w:pPr>
            <w:r>
              <w:rPr>
                <w:b/>
              </w:rPr>
              <w:t>143</w:t>
            </w:r>
          </w:p>
        </w:tc>
        <w:tc>
          <w:tcPr>
            <w:tcW w:w="0" w:type="auto"/>
          </w:tcPr>
          <w:p w:rsidR="00EB2350" w:rsidRPr="00EB2350" w:rsidRDefault="00EB2350" w:rsidP="00EB2350">
            <w:pPr>
              <w:jc w:val="center"/>
              <w:rPr>
                <w:b/>
              </w:rPr>
            </w:pPr>
            <w:r w:rsidRPr="00EB2350">
              <w:rPr>
                <w:b/>
              </w:rPr>
              <w:t>2</w:t>
            </w:r>
            <w:r w:rsidR="0003141B">
              <w:rPr>
                <w:b/>
              </w:rPr>
              <w:t>582</w:t>
            </w:r>
          </w:p>
        </w:tc>
      </w:tr>
      <w:tr w:rsidR="0003141B" w:rsidRPr="00EB2350">
        <w:tc>
          <w:tcPr>
            <w:tcW w:w="0" w:type="auto"/>
          </w:tcPr>
          <w:p w:rsidR="00EB2350" w:rsidRPr="00EB2350" w:rsidRDefault="00EB2350" w:rsidP="00EB2350">
            <w:pPr>
              <w:jc w:val="center"/>
              <w:rPr>
                <w:b/>
              </w:rPr>
            </w:pPr>
            <w:r w:rsidRPr="00EB2350">
              <w:rPr>
                <w:b/>
              </w:rPr>
              <w:t>Pending Days X 30 % success rate</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1</w:t>
            </w:r>
            <w:r w:rsidR="006F2535">
              <w:rPr>
                <w:b/>
              </w:rPr>
              <w:t>2</w:t>
            </w:r>
          </w:p>
        </w:tc>
        <w:tc>
          <w:tcPr>
            <w:tcW w:w="0" w:type="auto"/>
          </w:tcPr>
          <w:p w:rsidR="00EB2350" w:rsidRPr="00EB2350" w:rsidRDefault="002A5C03" w:rsidP="00EB2350">
            <w:pPr>
              <w:jc w:val="center"/>
              <w:rPr>
                <w:b/>
              </w:rPr>
            </w:pPr>
            <w:r>
              <w:rPr>
                <w:b/>
              </w:rPr>
              <w:t>2</w:t>
            </w:r>
          </w:p>
        </w:tc>
        <w:tc>
          <w:tcPr>
            <w:tcW w:w="0" w:type="auto"/>
          </w:tcPr>
          <w:p w:rsidR="00EB2350" w:rsidRPr="00EB2350" w:rsidRDefault="00EB2350" w:rsidP="00EB2350">
            <w:pPr>
              <w:jc w:val="center"/>
              <w:rPr>
                <w:b/>
              </w:rPr>
            </w:pPr>
            <w:r w:rsidRPr="00EB2350">
              <w:rPr>
                <w:b/>
              </w:rPr>
              <w:t>1</w:t>
            </w:r>
          </w:p>
        </w:tc>
        <w:tc>
          <w:tcPr>
            <w:tcW w:w="0" w:type="auto"/>
          </w:tcPr>
          <w:p w:rsidR="00EB2350" w:rsidRPr="00EB2350" w:rsidRDefault="002A5C03" w:rsidP="00EB2350">
            <w:pPr>
              <w:jc w:val="center"/>
              <w:rPr>
                <w:b/>
              </w:rPr>
            </w:pPr>
            <w:r>
              <w:rPr>
                <w:b/>
              </w:rPr>
              <w:t>6</w:t>
            </w:r>
          </w:p>
        </w:tc>
        <w:tc>
          <w:tcPr>
            <w:tcW w:w="0" w:type="auto"/>
          </w:tcPr>
          <w:p w:rsidR="00EB2350" w:rsidRPr="00EB2350" w:rsidRDefault="00EB2350" w:rsidP="00EB2350">
            <w:pPr>
              <w:jc w:val="center"/>
              <w:rPr>
                <w:b/>
              </w:rPr>
            </w:pPr>
            <w:r w:rsidRPr="00EB2350">
              <w:rPr>
                <w:b/>
              </w:rPr>
              <w:t>4</w:t>
            </w:r>
            <w:r w:rsidR="002A5C03">
              <w:rPr>
                <w:b/>
              </w:rPr>
              <w:t>7</w:t>
            </w:r>
          </w:p>
        </w:tc>
        <w:tc>
          <w:tcPr>
            <w:tcW w:w="0" w:type="auto"/>
          </w:tcPr>
          <w:p w:rsidR="00EB2350" w:rsidRPr="00EB2350" w:rsidRDefault="002A5C03" w:rsidP="00EB2350">
            <w:pPr>
              <w:jc w:val="center"/>
              <w:rPr>
                <w:b/>
              </w:rPr>
            </w:pPr>
            <w:r>
              <w:rPr>
                <w:b/>
              </w:rPr>
              <w:t>110</w:t>
            </w:r>
          </w:p>
        </w:tc>
        <w:tc>
          <w:tcPr>
            <w:tcW w:w="0" w:type="auto"/>
          </w:tcPr>
          <w:p w:rsidR="00EB2350" w:rsidRPr="00EB2350" w:rsidRDefault="0057193E" w:rsidP="00EB2350">
            <w:pPr>
              <w:jc w:val="center"/>
              <w:rPr>
                <w:b/>
              </w:rPr>
            </w:pPr>
            <w:r>
              <w:rPr>
                <w:b/>
              </w:rPr>
              <w:t>1</w:t>
            </w:r>
          </w:p>
        </w:tc>
        <w:tc>
          <w:tcPr>
            <w:tcW w:w="0" w:type="auto"/>
          </w:tcPr>
          <w:p w:rsidR="00EB2350" w:rsidRPr="00EB2350" w:rsidRDefault="0003141B" w:rsidP="00EB2350">
            <w:pPr>
              <w:jc w:val="center"/>
              <w:rPr>
                <w:b/>
              </w:rPr>
            </w:pPr>
            <w:r>
              <w:rPr>
                <w:b/>
              </w:rPr>
              <w:t>16</w:t>
            </w:r>
          </w:p>
        </w:tc>
        <w:tc>
          <w:tcPr>
            <w:tcW w:w="0" w:type="auto"/>
          </w:tcPr>
          <w:p w:rsidR="00EB2350" w:rsidRPr="00EB2350" w:rsidRDefault="0003141B" w:rsidP="00EB2350">
            <w:pPr>
              <w:jc w:val="center"/>
              <w:rPr>
                <w:b/>
              </w:rPr>
            </w:pPr>
            <w:r>
              <w:rPr>
                <w:b/>
              </w:rPr>
              <w:t>194</w:t>
            </w:r>
          </w:p>
        </w:tc>
      </w:tr>
      <w:tr w:rsidR="0003141B" w:rsidRPr="00EB2350">
        <w:tc>
          <w:tcPr>
            <w:tcW w:w="0" w:type="auto"/>
          </w:tcPr>
          <w:p w:rsidR="00EB2350" w:rsidRPr="00EB2350" w:rsidRDefault="00EB2350" w:rsidP="00EB2350">
            <w:pPr>
              <w:jc w:val="center"/>
              <w:rPr>
                <w:b/>
              </w:rPr>
            </w:pPr>
            <w:r w:rsidRPr="00EB2350">
              <w:rPr>
                <w:b/>
              </w:rPr>
              <w:t>Total Funded and Pending</w:t>
            </w:r>
          </w:p>
        </w:tc>
        <w:tc>
          <w:tcPr>
            <w:tcW w:w="0" w:type="auto"/>
          </w:tcPr>
          <w:p w:rsidR="00EB2350" w:rsidRPr="00EB2350" w:rsidRDefault="00EB2350" w:rsidP="00EB2350">
            <w:pPr>
              <w:jc w:val="center"/>
              <w:rPr>
                <w:b/>
              </w:rPr>
            </w:pPr>
            <w:r w:rsidRPr="00EB2350">
              <w:rPr>
                <w:b/>
              </w:rPr>
              <w:t>7</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0</w:t>
            </w:r>
          </w:p>
        </w:tc>
        <w:tc>
          <w:tcPr>
            <w:tcW w:w="0" w:type="auto"/>
          </w:tcPr>
          <w:p w:rsidR="00EB2350" w:rsidRPr="00EB2350" w:rsidRDefault="00EB2350" w:rsidP="00EB2350">
            <w:pPr>
              <w:jc w:val="center"/>
              <w:rPr>
                <w:b/>
              </w:rPr>
            </w:pPr>
            <w:r w:rsidRPr="00EB2350">
              <w:rPr>
                <w:b/>
              </w:rPr>
              <w:t>1</w:t>
            </w:r>
            <w:r w:rsidR="006F2535">
              <w:rPr>
                <w:b/>
              </w:rPr>
              <w:t>30</w:t>
            </w:r>
          </w:p>
        </w:tc>
        <w:tc>
          <w:tcPr>
            <w:tcW w:w="0" w:type="auto"/>
          </w:tcPr>
          <w:p w:rsidR="00EB2350" w:rsidRPr="00EB2350" w:rsidRDefault="00EB2350" w:rsidP="00EB2350">
            <w:pPr>
              <w:jc w:val="center"/>
              <w:rPr>
                <w:b/>
              </w:rPr>
            </w:pPr>
            <w:r w:rsidRPr="00EB2350">
              <w:rPr>
                <w:b/>
              </w:rPr>
              <w:t>2</w:t>
            </w:r>
            <w:r w:rsidR="002A5C03">
              <w:rPr>
                <w:b/>
              </w:rPr>
              <w:t>3</w:t>
            </w:r>
          </w:p>
        </w:tc>
        <w:tc>
          <w:tcPr>
            <w:tcW w:w="0" w:type="auto"/>
          </w:tcPr>
          <w:p w:rsidR="00EB2350" w:rsidRPr="00EB2350" w:rsidRDefault="00EB2350" w:rsidP="00EB2350">
            <w:pPr>
              <w:jc w:val="center"/>
              <w:rPr>
                <w:b/>
              </w:rPr>
            </w:pPr>
            <w:r w:rsidRPr="00EB2350">
              <w:rPr>
                <w:b/>
              </w:rPr>
              <w:t>1</w:t>
            </w:r>
          </w:p>
        </w:tc>
        <w:tc>
          <w:tcPr>
            <w:tcW w:w="0" w:type="auto"/>
          </w:tcPr>
          <w:p w:rsidR="00EB2350" w:rsidRPr="00EB2350" w:rsidRDefault="002A5C03" w:rsidP="00EB2350">
            <w:pPr>
              <w:jc w:val="center"/>
              <w:rPr>
                <w:b/>
              </w:rPr>
            </w:pPr>
            <w:r>
              <w:rPr>
                <w:b/>
              </w:rPr>
              <w:t>301</w:t>
            </w:r>
          </w:p>
        </w:tc>
        <w:tc>
          <w:tcPr>
            <w:tcW w:w="0" w:type="auto"/>
          </w:tcPr>
          <w:p w:rsidR="00EB2350" w:rsidRPr="00EB2350" w:rsidRDefault="00EB2350" w:rsidP="00EB2350">
            <w:pPr>
              <w:jc w:val="center"/>
              <w:rPr>
                <w:b/>
              </w:rPr>
            </w:pPr>
            <w:r w:rsidRPr="00EB2350">
              <w:rPr>
                <w:b/>
              </w:rPr>
              <w:t>1</w:t>
            </w:r>
            <w:r w:rsidR="002A5C03">
              <w:rPr>
                <w:b/>
              </w:rPr>
              <w:t>68</w:t>
            </w:r>
          </w:p>
        </w:tc>
        <w:tc>
          <w:tcPr>
            <w:tcW w:w="0" w:type="auto"/>
          </w:tcPr>
          <w:p w:rsidR="00EB2350" w:rsidRPr="00EB2350" w:rsidRDefault="00EB2350" w:rsidP="00EB2350">
            <w:pPr>
              <w:jc w:val="center"/>
              <w:rPr>
                <w:b/>
              </w:rPr>
            </w:pPr>
            <w:r w:rsidRPr="00EB2350">
              <w:rPr>
                <w:b/>
              </w:rPr>
              <w:t>19</w:t>
            </w:r>
            <w:r w:rsidR="0003141B">
              <w:rPr>
                <w:b/>
              </w:rPr>
              <w:t>87</w:t>
            </w:r>
          </w:p>
        </w:tc>
        <w:tc>
          <w:tcPr>
            <w:tcW w:w="0" w:type="auto"/>
          </w:tcPr>
          <w:p w:rsidR="00EB2350" w:rsidRPr="00EB2350" w:rsidRDefault="0057193E" w:rsidP="00EB2350">
            <w:pPr>
              <w:jc w:val="center"/>
              <w:rPr>
                <w:b/>
              </w:rPr>
            </w:pPr>
            <w:r>
              <w:rPr>
                <w:b/>
              </w:rPr>
              <w:t>1</w:t>
            </w:r>
          </w:p>
        </w:tc>
        <w:tc>
          <w:tcPr>
            <w:tcW w:w="0" w:type="auto"/>
          </w:tcPr>
          <w:p w:rsidR="00EB2350" w:rsidRPr="00EB2350" w:rsidRDefault="00EB2350" w:rsidP="00EB2350">
            <w:pPr>
              <w:jc w:val="center"/>
              <w:rPr>
                <w:b/>
              </w:rPr>
            </w:pPr>
            <w:r w:rsidRPr="00EB2350">
              <w:rPr>
                <w:b/>
              </w:rPr>
              <w:t>1</w:t>
            </w:r>
            <w:r w:rsidR="0003141B">
              <w:rPr>
                <w:b/>
              </w:rPr>
              <w:t>59</w:t>
            </w:r>
          </w:p>
        </w:tc>
        <w:tc>
          <w:tcPr>
            <w:tcW w:w="0" w:type="auto"/>
          </w:tcPr>
          <w:p w:rsidR="00EB2350" w:rsidRPr="00EB2350" w:rsidRDefault="00EB2350" w:rsidP="00EB2350">
            <w:pPr>
              <w:jc w:val="center"/>
              <w:rPr>
                <w:b/>
              </w:rPr>
            </w:pPr>
            <w:r w:rsidRPr="00EB2350">
              <w:rPr>
                <w:b/>
              </w:rPr>
              <w:t>2</w:t>
            </w:r>
            <w:r w:rsidR="0003141B">
              <w:rPr>
                <w:b/>
              </w:rPr>
              <w:t>776</w:t>
            </w:r>
          </w:p>
        </w:tc>
      </w:tr>
    </w:tbl>
    <w:p w:rsidR="00EB2350" w:rsidRDefault="00EB2350" w:rsidP="00EB2350">
      <w:pPr>
        <w:spacing w:after="120"/>
        <w:jc w:val="center"/>
        <w:rPr>
          <w:b/>
        </w:rPr>
      </w:pPr>
    </w:p>
    <w:p w:rsidR="00810D84" w:rsidRDefault="00810D84" w:rsidP="00EB2350">
      <w:pPr>
        <w:spacing w:after="120"/>
        <w:jc w:val="center"/>
        <w:rPr>
          <w:b/>
        </w:rPr>
      </w:pPr>
    </w:p>
    <w:p w:rsidR="00EB2350" w:rsidRDefault="00EB2350" w:rsidP="00EB2350">
      <w:pPr>
        <w:numPr>
          <w:ilvl w:val="0"/>
          <w:numId w:val="16"/>
        </w:numPr>
      </w:pPr>
      <w:r>
        <w:t>There are presently 3871 operating days on the 2011 schedules.</w:t>
      </w:r>
    </w:p>
    <w:p w:rsidR="00EB2350" w:rsidRDefault="00EB2350" w:rsidP="00EB2350"/>
    <w:p w:rsidR="00EB2350" w:rsidRDefault="00EB2350" w:rsidP="00EB2350">
      <w:pPr>
        <w:numPr>
          <w:ilvl w:val="0"/>
          <w:numId w:val="16"/>
        </w:numPr>
      </w:pPr>
      <w:r>
        <w:t>There are currently 2</w:t>
      </w:r>
      <w:r w:rsidR="006F2535">
        <w:t>776</w:t>
      </w:r>
      <w:r>
        <w:t xml:space="preserve"> operating days (funded and 30% pending) on the 2012 Letters of Intent schedules as of </w:t>
      </w:r>
      <w:r w:rsidR="006F2535">
        <w:t>Sept 19</w:t>
      </w:r>
      <w:r>
        <w:t>, 2011.</w:t>
      </w:r>
    </w:p>
    <w:p w:rsidR="00EB2350" w:rsidRDefault="00EB2350" w:rsidP="00EB2350"/>
    <w:p w:rsidR="00EB2350" w:rsidRDefault="00EB2350" w:rsidP="00364E52">
      <w:pPr>
        <w:numPr>
          <w:ilvl w:val="0"/>
          <w:numId w:val="16"/>
        </w:numPr>
      </w:pPr>
      <w:r>
        <w:t xml:space="preserve">The total number of requested operating days for 2012 to be funded by NSF is 1877 days. In recent years the decrease in ship funding from other agencies has resulted in a larger proportion of the operating days being funded by NSF and this trend continues in 2012. In 2011, of the total 3871 days, NSF funded 2322 days, or 60 %.  In 2012, NSF will provide support for </w:t>
      </w:r>
      <w:r w:rsidR="006F2535">
        <w:t xml:space="preserve">72 </w:t>
      </w:r>
      <w:r>
        <w:t xml:space="preserve">% of the total days. </w:t>
      </w:r>
      <w:r w:rsidR="00364E52">
        <w:br/>
      </w:r>
    </w:p>
    <w:p w:rsidR="00EB2350" w:rsidRDefault="00EB2350" w:rsidP="00EB2350">
      <w:pPr>
        <w:numPr>
          <w:ilvl w:val="0"/>
          <w:numId w:val="16"/>
        </w:numPr>
      </w:pPr>
      <w:r>
        <w:t>The Globals, (</w:t>
      </w:r>
      <w:r w:rsidRPr="009A5257">
        <w:rPr>
          <w:i/>
        </w:rPr>
        <w:t>Atlantis</w:t>
      </w:r>
      <w:r>
        <w:t xml:space="preserve">, </w:t>
      </w:r>
      <w:r w:rsidRPr="00E6317D">
        <w:rPr>
          <w:i/>
        </w:rPr>
        <w:t>Knorr, Langseth, Melville, Revelle</w:t>
      </w:r>
      <w:r>
        <w:t xml:space="preserve">, and </w:t>
      </w:r>
      <w:r w:rsidRPr="00E6317D">
        <w:rPr>
          <w:i/>
        </w:rPr>
        <w:t>Thompson</w:t>
      </w:r>
      <w:r>
        <w:rPr>
          <w:i/>
        </w:rPr>
        <w:t xml:space="preserve">) </w:t>
      </w:r>
      <w:r>
        <w:t xml:space="preserve">and </w:t>
      </w:r>
      <w:r w:rsidRPr="00E6317D">
        <w:rPr>
          <w:i/>
        </w:rPr>
        <w:t>Kilo Moana</w:t>
      </w:r>
      <w:r>
        <w:t xml:space="preserve"> have reduced schedules with between 19</w:t>
      </w:r>
      <w:r w:rsidR="006F2535">
        <w:t>5</w:t>
      </w:r>
      <w:r>
        <w:t xml:space="preserve"> and 28</w:t>
      </w:r>
      <w:r w:rsidR="006F2535">
        <w:t>8</w:t>
      </w:r>
      <w:r>
        <w:t xml:space="preserve"> operating days (funding and all pending). There are specific home-port maintenance periods planned.  The Globals will finish 2012 in optimal operating areas to begin 2013 cruises. </w:t>
      </w:r>
    </w:p>
    <w:p w:rsidR="00EB2350" w:rsidRDefault="00EB2350" w:rsidP="00EB2350"/>
    <w:p w:rsidR="00EB2350" w:rsidRDefault="00EB2350" w:rsidP="006A08F6">
      <w:pPr>
        <w:numPr>
          <w:ilvl w:val="0"/>
          <w:numId w:val="16"/>
        </w:numPr>
      </w:pPr>
      <w:r>
        <w:t xml:space="preserve">The East Coast Ocean/Intermediate, the </w:t>
      </w:r>
      <w:r w:rsidRPr="00575F85">
        <w:rPr>
          <w:i/>
        </w:rPr>
        <w:t>Endeavor</w:t>
      </w:r>
      <w:r>
        <w:t xml:space="preserve"> has 1</w:t>
      </w:r>
      <w:r w:rsidR="006F2535">
        <w:t>68</w:t>
      </w:r>
      <w:r>
        <w:t xml:space="preserve"> days</w:t>
      </w:r>
      <w:r w:rsidR="006A08F6">
        <w:t xml:space="preserve"> </w:t>
      </w:r>
      <w:r>
        <w:t xml:space="preserve">(funded and all pending) and the </w:t>
      </w:r>
      <w:r w:rsidRPr="006A08F6">
        <w:rPr>
          <w:i/>
        </w:rPr>
        <w:t>Oceanus</w:t>
      </w:r>
      <w:r>
        <w:t xml:space="preserve"> is planned to go out of service at the end of 2011.  As has been the norm over the past ten years, the work is concentrated in the mid and North </w:t>
      </w:r>
      <w:smartTag w:uri="urn:schemas-microsoft-com:office:smarttags" w:element="place">
        <w:r>
          <w:t>Atlantic</w:t>
        </w:r>
      </w:smartTag>
      <w:r>
        <w:t xml:space="preserve"> in the optimal weather windows from March to October. </w:t>
      </w:r>
    </w:p>
    <w:p w:rsidR="00EB2350" w:rsidRDefault="00EB2350" w:rsidP="00EB2350"/>
    <w:p w:rsidR="00EB2350" w:rsidRDefault="00EB2350" w:rsidP="00EB2350">
      <w:pPr>
        <w:numPr>
          <w:ilvl w:val="0"/>
          <w:numId w:val="16"/>
        </w:numPr>
      </w:pPr>
      <w:r>
        <w:t xml:space="preserve">The </w:t>
      </w:r>
      <w:smartTag w:uri="urn:schemas-microsoft-com:office:smarttags" w:element="place">
        <w:smartTag w:uri="urn:schemas-microsoft-com:office:smarttags" w:element="PlaceType">
          <w:r w:rsidRPr="00E6317D">
            <w:rPr>
              <w:i/>
            </w:rPr>
            <w:t>Cape</w:t>
          </w:r>
        </w:smartTag>
        <w:r w:rsidRPr="00E6317D">
          <w:rPr>
            <w:i/>
          </w:rPr>
          <w:t xml:space="preserve"> </w:t>
        </w:r>
        <w:smartTag w:uri="urn:schemas-microsoft-com:office:smarttags" w:element="PlaceName">
          <w:r w:rsidRPr="00E6317D">
            <w:rPr>
              <w:i/>
            </w:rPr>
            <w:t>Hatteras</w:t>
          </w:r>
        </w:smartTag>
      </w:smartTag>
      <w:r>
        <w:t xml:space="preserve"> currently has </w:t>
      </w:r>
      <w:r w:rsidR="00364E52">
        <w:t>70</w:t>
      </w:r>
      <w:r>
        <w:t xml:space="preserve"> days planned of which </w:t>
      </w:r>
      <w:r w:rsidR="00364E52">
        <w:t>43</w:t>
      </w:r>
      <w:r>
        <w:t xml:space="preserve"> days are pending. This is a very light schedule.  </w:t>
      </w:r>
    </w:p>
    <w:p w:rsidR="00EB2350" w:rsidRDefault="00EB2350" w:rsidP="00EB2350"/>
    <w:p w:rsidR="00EB2350" w:rsidRDefault="00EB2350" w:rsidP="006F2535">
      <w:pPr>
        <w:numPr>
          <w:ilvl w:val="0"/>
          <w:numId w:val="16"/>
        </w:numPr>
      </w:pPr>
      <w:r>
        <w:t xml:space="preserve">The </w:t>
      </w:r>
      <w:r w:rsidRPr="00E6317D">
        <w:rPr>
          <w:i/>
        </w:rPr>
        <w:t>Pelican</w:t>
      </w:r>
      <w:r>
        <w:t xml:space="preserve"> in the </w:t>
      </w:r>
      <w:smartTag w:uri="urn:schemas-microsoft-com:office:smarttags" w:element="place">
        <w:r>
          <w:t>Gulf of Mexico</w:t>
        </w:r>
      </w:smartTag>
      <w:r>
        <w:t xml:space="preserve"> has a </w:t>
      </w:r>
      <w:r w:rsidR="006F2535">
        <w:t xml:space="preserve">moderate </w:t>
      </w:r>
      <w:r>
        <w:t xml:space="preserve">schedule of </w:t>
      </w:r>
      <w:r w:rsidR="006F2535">
        <w:t>136</w:t>
      </w:r>
      <w:r>
        <w:t xml:space="preserve"> days</w:t>
      </w:r>
      <w:r w:rsidR="00364E52">
        <w:t xml:space="preserve"> (funded and all pending)</w:t>
      </w:r>
      <w:r>
        <w:t>. Historically this ship has added days over the course of the operating year</w:t>
      </w:r>
      <w:r w:rsidR="006F2535">
        <w:t xml:space="preserve"> and this is expected to be the case in 2012 as the Gulf Research Initiative funds ship time</w:t>
      </w:r>
      <w:r>
        <w:t>.</w:t>
      </w:r>
    </w:p>
    <w:p w:rsidR="00EB2350" w:rsidRDefault="00EB2350" w:rsidP="00EB2350"/>
    <w:p w:rsidR="00EB2350" w:rsidRDefault="00EB2350" w:rsidP="00EB2350">
      <w:pPr>
        <w:numPr>
          <w:ilvl w:val="0"/>
          <w:numId w:val="16"/>
        </w:numPr>
        <w:jc w:val="both"/>
      </w:pPr>
      <w:r>
        <w:t xml:space="preserve">The </w:t>
      </w:r>
      <w:r w:rsidRPr="00E6317D">
        <w:rPr>
          <w:i/>
        </w:rPr>
        <w:t>Hugh Sharp</w:t>
      </w:r>
      <w:r>
        <w:t xml:space="preserve"> has a relatively strong schedule at 19</w:t>
      </w:r>
      <w:r w:rsidR="00BE6977">
        <w:t>6</w:t>
      </w:r>
      <w:r>
        <w:t xml:space="preserve"> </w:t>
      </w:r>
      <w:r w:rsidR="00364E52">
        <w:t xml:space="preserve">funded </w:t>
      </w:r>
      <w:r>
        <w:t>operating days.</w:t>
      </w:r>
    </w:p>
    <w:p w:rsidR="00EB2350" w:rsidRDefault="00EB2350" w:rsidP="00EB2350">
      <w:pPr>
        <w:jc w:val="both"/>
      </w:pPr>
    </w:p>
    <w:p w:rsidR="00EB2350" w:rsidRDefault="00EB2350" w:rsidP="00EB2350">
      <w:pPr>
        <w:numPr>
          <w:ilvl w:val="0"/>
          <w:numId w:val="16"/>
        </w:numPr>
      </w:pPr>
      <w:r>
        <w:t xml:space="preserve">The West Coast Ocean/Intermediates, </w:t>
      </w:r>
      <w:r w:rsidRPr="00E6317D">
        <w:rPr>
          <w:i/>
        </w:rPr>
        <w:t>Wecoma</w:t>
      </w:r>
      <w:r>
        <w:t xml:space="preserve"> and </w:t>
      </w:r>
      <w:r w:rsidRPr="00E6317D">
        <w:rPr>
          <w:i/>
        </w:rPr>
        <w:t>New Horizon</w:t>
      </w:r>
      <w:r>
        <w:t xml:space="preserve"> both have weak schedules. The </w:t>
      </w:r>
      <w:r w:rsidRPr="00E6317D">
        <w:rPr>
          <w:i/>
        </w:rPr>
        <w:t>Wecoma</w:t>
      </w:r>
      <w:r>
        <w:t xml:space="preserve"> presently has 124 days of which 56 are pending.  The </w:t>
      </w:r>
      <w:r w:rsidRPr="00E6317D">
        <w:rPr>
          <w:i/>
        </w:rPr>
        <w:t>New Horizon</w:t>
      </w:r>
      <w:r>
        <w:t xml:space="preserve"> shows </w:t>
      </w:r>
      <w:r w:rsidR="00364E52">
        <w:t>121</w:t>
      </w:r>
      <w:r>
        <w:t xml:space="preserve"> days with </w:t>
      </w:r>
      <w:r w:rsidR="00BE6977">
        <w:t>49</w:t>
      </w:r>
      <w:r>
        <w:t xml:space="preserve"> days pending.</w:t>
      </w:r>
    </w:p>
    <w:p w:rsidR="00EB2350" w:rsidRDefault="00EB2350" w:rsidP="00EB2350">
      <w:pPr>
        <w:jc w:val="both"/>
      </w:pPr>
    </w:p>
    <w:p w:rsidR="00EB2350" w:rsidRPr="009138E0" w:rsidRDefault="00EB2350" w:rsidP="00EB2350">
      <w:pPr>
        <w:numPr>
          <w:ilvl w:val="0"/>
          <w:numId w:val="16"/>
        </w:numPr>
        <w:jc w:val="both"/>
      </w:pPr>
      <w:r>
        <w:t xml:space="preserve">The </w:t>
      </w:r>
      <w:r w:rsidRPr="00E6317D">
        <w:rPr>
          <w:i/>
        </w:rPr>
        <w:t>Point Sur</w:t>
      </w:r>
      <w:r>
        <w:t xml:space="preserve"> with 3</w:t>
      </w:r>
      <w:r w:rsidR="00364E52">
        <w:t>4</w:t>
      </w:r>
      <w:r>
        <w:t xml:space="preserve"> days of which 1 day is pending and the </w:t>
      </w:r>
      <w:r w:rsidRPr="00E6317D">
        <w:rPr>
          <w:i/>
        </w:rPr>
        <w:t>Robert Sproul</w:t>
      </w:r>
      <w:r>
        <w:t xml:space="preserve"> with </w:t>
      </w:r>
      <w:r w:rsidR="00BE6977">
        <w:t>29</w:t>
      </w:r>
      <w:r>
        <w:t xml:space="preserve"> days of which </w:t>
      </w:r>
      <w:r w:rsidR="00BE6977">
        <w:t>15</w:t>
      </w:r>
      <w:r>
        <w:t xml:space="preserve"> are  pending have very weak schedules. The </w:t>
      </w:r>
      <w:r w:rsidRPr="009138E0">
        <w:rPr>
          <w:i/>
        </w:rPr>
        <w:t>Point Sur</w:t>
      </w:r>
      <w:r>
        <w:rPr>
          <w:i/>
        </w:rPr>
        <w:t xml:space="preserve"> </w:t>
      </w:r>
      <w:r w:rsidRPr="009138E0">
        <w:t xml:space="preserve">should continue to consider supporting Palmer Station in late 2012. This would add approximately </w:t>
      </w:r>
      <w:r w:rsidR="00BE6977">
        <w:t>60</w:t>
      </w:r>
      <w:r w:rsidRPr="009138E0">
        <w:t xml:space="preserve"> days to their </w:t>
      </w:r>
      <w:r w:rsidR="0070653B">
        <w:t xml:space="preserve">2012 </w:t>
      </w:r>
      <w:r w:rsidRPr="009138E0">
        <w:t>schedule</w:t>
      </w:r>
      <w:r w:rsidR="00BE6977">
        <w:t>.</w:t>
      </w:r>
    </w:p>
    <w:p w:rsidR="00EB2350" w:rsidRDefault="00EB2350" w:rsidP="00EB2350">
      <w:pPr>
        <w:jc w:val="both"/>
      </w:pPr>
    </w:p>
    <w:p w:rsidR="00EB2350" w:rsidRDefault="00EB2350" w:rsidP="00EB2350">
      <w:pPr>
        <w:numPr>
          <w:ilvl w:val="0"/>
          <w:numId w:val="16"/>
        </w:numPr>
      </w:pPr>
      <w:r>
        <w:t xml:space="preserve">If no additional work is identified when the final schedules are completed, it may be necessary for NSF to provide funds to support extended maintenance or partial layup periods for NSF-owned ships. </w:t>
      </w:r>
    </w:p>
    <w:p w:rsidR="00EB2350" w:rsidRDefault="00EB2350" w:rsidP="00EB2350"/>
    <w:p w:rsidR="00EB2350" w:rsidRDefault="00EB2350" w:rsidP="00EB2350">
      <w:pPr>
        <w:numPr>
          <w:ilvl w:val="0"/>
          <w:numId w:val="16"/>
        </w:numPr>
        <w:jc w:val="both"/>
      </w:pPr>
      <w:r>
        <w:t xml:space="preserve">There are presently no double-bookings on the ship schedules. </w:t>
      </w:r>
    </w:p>
    <w:p w:rsidR="00EB2350" w:rsidRDefault="00EB2350" w:rsidP="00EB2350">
      <w:pPr>
        <w:jc w:val="both"/>
      </w:pPr>
    </w:p>
    <w:p w:rsidR="00EB2350" w:rsidRDefault="00EB2350" w:rsidP="00EB2350">
      <w:pPr>
        <w:numPr>
          <w:ilvl w:val="0"/>
          <w:numId w:val="16"/>
        </w:numPr>
        <w:jc w:val="both"/>
      </w:pPr>
      <w:r>
        <w:t xml:space="preserve">In recent years, a decline in ship time request demand has been observed (see Figure 4). </w:t>
      </w:r>
    </w:p>
    <w:p w:rsidR="00EB2350" w:rsidRDefault="00EB2350" w:rsidP="00EB2350">
      <w:pPr>
        <w:rPr>
          <w:b/>
        </w:rPr>
      </w:pPr>
    </w:p>
    <w:p w:rsidR="00EB2350" w:rsidRDefault="00EB2350" w:rsidP="00EB2350">
      <w:pPr>
        <w:rPr>
          <w:b/>
        </w:rPr>
      </w:pPr>
    </w:p>
    <w:p w:rsidR="00EB2350" w:rsidRDefault="00EB2350" w:rsidP="00EB2350">
      <w:pPr>
        <w:rPr>
          <w:b/>
        </w:rPr>
      </w:pPr>
    </w:p>
    <w:p w:rsidR="00810D84" w:rsidRDefault="00810D84" w:rsidP="00EB2350">
      <w:pPr>
        <w:rPr>
          <w:b/>
        </w:rPr>
      </w:pPr>
    </w:p>
    <w:p w:rsidR="00EB2350" w:rsidRDefault="00EB2350" w:rsidP="00EB2350">
      <w:pPr>
        <w:rPr>
          <w:b/>
        </w:rPr>
      </w:pPr>
      <w:r w:rsidRPr="0011379C">
        <w:rPr>
          <w:b/>
        </w:rPr>
        <w:t>Recommendations</w:t>
      </w:r>
      <w:r w:rsidR="00810D84">
        <w:rPr>
          <w:b/>
        </w:rPr>
        <w:t>:</w:t>
      </w:r>
    </w:p>
    <w:p w:rsidR="00EB2350" w:rsidRDefault="00EB2350" w:rsidP="00EB2350">
      <w:pPr>
        <w:rPr>
          <w:b/>
        </w:rPr>
      </w:pPr>
    </w:p>
    <w:p w:rsidR="00EB2350" w:rsidRDefault="00EB2350" w:rsidP="00EB2350">
      <w:pPr>
        <w:numPr>
          <w:ilvl w:val="0"/>
          <w:numId w:val="15"/>
        </w:numPr>
      </w:pPr>
      <w:r>
        <w:t xml:space="preserve">The </w:t>
      </w:r>
      <w:r w:rsidRPr="006C5B78">
        <w:rPr>
          <w:i/>
        </w:rPr>
        <w:t>Oceanus</w:t>
      </w:r>
      <w:r>
        <w:t xml:space="preserve"> will be retired at the end of 2011.</w:t>
      </w:r>
    </w:p>
    <w:p w:rsidR="00EB2350" w:rsidRDefault="00EB2350" w:rsidP="00EB2350">
      <w:r>
        <w:t xml:space="preserve"> </w:t>
      </w:r>
    </w:p>
    <w:p w:rsidR="00EB2350" w:rsidRDefault="00EB2350" w:rsidP="00EB2350">
      <w:pPr>
        <w:numPr>
          <w:ilvl w:val="0"/>
          <w:numId w:val="15"/>
        </w:numPr>
      </w:pPr>
      <w:r>
        <w:t xml:space="preserve">Maintenance periods in the vessel home-port are strongly encouraged both as a cost saving measure as well as an opportunity to conduct preventative maintenance. </w:t>
      </w:r>
    </w:p>
    <w:p w:rsidR="00EB2350" w:rsidRDefault="00EB2350" w:rsidP="00EB2350"/>
    <w:p w:rsidR="00EB2350" w:rsidRDefault="00EB2350" w:rsidP="00EB2350">
      <w:pPr>
        <w:numPr>
          <w:ilvl w:val="0"/>
          <w:numId w:val="15"/>
        </w:numPr>
      </w:pPr>
      <w:r>
        <w:t xml:space="preserve">If no additional work is identified when the final schedules are completed, it may be necessary for NSF to consider providing some funds to support extended maintenance or partial layup periods for the NSF-owned ships, </w:t>
      </w:r>
      <w:r w:rsidRPr="009A5257">
        <w:rPr>
          <w:i/>
        </w:rPr>
        <w:t>Cape Hatteras</w:t>
      </w:r>
      <w:r>
        <w:t xml:space="preserve"> </w:t>
      </w:r>
      <w:r w:rsidRPr="00264DBE">
        <w:t xml:space="preserve">and </w:t>
      </w:r>
      <w:r w:rsidRPr="009974AD">
        <w:rPr>
          <w:i/>
        </w:rPr>
        <w:t>Point Sur</w:t>
      </w:r>
      <w:r>
        <w:rPr>
          <w:i/>
        </w:rPr>
        <w:t xml:space="preserve">. </w:t>
      </w:r>
    </w:p>
    <w:p w:rsidR="00EB2350" w:rsidRDefault="00EB2350" w:rsidP="00EB2350"/>
    <w:p w:rsidR="00EB2350" w:rsidRDefault="00EB2350" w:rsidP="00EB2350">
      <w:pPr>
        <w:numPr>
          <w:ilvl w:val="0"/>
          <w:numId w:val="15"/>
        </w:numPr>
      </w:pPr>
      <w:r>
        <w:t xml:space="preserve">Encourage operators of all ships to find ways to reduce costs and seek appropriate opportunities to support research and education programs supported by other funding sources. </w:t>
      </w:r>
    </w:p>
    <w:p w:rsidR="00EB2350" w:rsidRDefault="00EB2350" w:rsidP="00EB2350"/>
    <w:p w:rsidR="00EB2350" w:rsidRDefault="00EB2350" w:rsidP="00EB2350">
      <w:pPr>
        <w:numPr>
          <w:ilvl w:val="0"/>
          <w:numId w:val="15"/>
        </w:numPr>
      </w:pPr>
      <w:r>
        <w:t xml:space="preserve">Emphasize to operators of institution-owned ships that they must decide if their planned schedule can support the cost to operate. </w:t>
      </w:r>
    </w:p>
    <w:p w:rsidR="00EB2350" w:rsidRDefault="00EB2350" w:rsidP="00EB2350"/>
    <w:p w:rsidR="00EB2350" w:rsidRDefault="00EB2350" w:rsidP="00EB2350">
      <w:pPr>
        <w:numPr>
          <w:ilvl w:val="0"/>
          <w:numId w:val="15"/>
        </w:numPr>
      </w:pPr>
      <w:r>
        <w:lastRenderedPageBreak/>
        <w:t xml:space="preserve"> A survey was conducted in 2011 of the possible causes for the recent decline in shiptime request demand.  Examination of the survey responses and development of strategies for addressing the ship time demand decline is recommended. </w:t>
      </w:r>
    </w:p>
    <w:p w:rsidR="00910C63" w:rsidRDefault="00910C63" w:rsidP="00910C63"/>
    <w:p w:rsidR="00910C63" w:rsidRPr="002B7E64" w:rsidRDefault="00910C63" w:rsidP="00EB2350">
      <w:pPr>
        <w:numPr>
          <w:ilvl w:val="0"/>
          <w:numId w:val="15"/>
        </w:numPr>
      </w:pPr>
      <w:r>
        <w:t xml:space="preserve"> UNOLS Council </w:t>
      </w:r>
      <w:r w:rsidR="007C2A9A">
        <w:t xml:space="preserve">is encouraged </w:t>
      </w:r>
      <w:r>
        <w:t xml:space="preserve">to begin </w:t>
      </w:r>
      <w:r w:rsidR="007C2A9A">
        <w:t>a</w:t>
      </w:r>
      <w:r>
        <w:t xml:space="preserve"> dialogue with the federal agencies on how to reduce the size of the Fleet within the context of the declining demand, utilization, and potential for declining federal budgets.  </w:t>
      </w:r>
    </w:p>
    <w:p w:rsidR="00EB2350" w:rsidRPr="0011379C" w:rsidRDefault="00EB2350" w:rsidP="00EB2350">
      <w:pPr>
        <w:rPr>
          <w:b/>
        </w:rPr>
      </w:pPr>
    </w:p>
    <w:p w:rsidR="00EB2350" w:rsidRDefault="00EB2350" w:rsidP="00EB2350">
      <w:pPr>
        <w:spacing w:after="120"/>
      </w:pPr>
    </w:p>
    <w:p w:rsidR="00EB2350" w:rsidRDefault="00EB2350" w:rsidP="00EB2350"/>
    <w:p w:rsidR="00EB2350" w:rsidRDefault="00EB2350" w:rsidP="00EB2350"/>
    <w:p w:rsidR="00EB2350" w:rsidRPr="00017215" w:rsidRDefault="00B26F82" w:rsidP="00EB2350">
      <w:r>
        <w:rPr>
          <w:noProof/>
        </w:rPr>
        <w:drawing>
          <wp:inline distT="0" distB="0" distL="0" distR="0">
            <wp:extent cx="5486400" cy="3743960"/>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3743960"/>
                    </a:xfrm>
                    <a:prstGeom prst="rect">
                      <a:avLst/>
                    </a:prstGeom>
                    <a:noFill/>
                    <a:ln w="6350" cmpd="sng">
                      <a:solidFill>
                        <a:srgbClr val="000000"/>
                      </a:solidFill>
                      <a:miter lim="800000"/>
                      <a:headEnd/>
                      <a:tailEnd/>
                    </a:ln>
                    <a:effectLst/>
                  </pic:spPr>
                </pic:pic>
              </a:graphicData>
            </a:graphic>
          </wp:inline>
        </w:drawing>
      </w:r>
    </w:p>
    <w:p w:rsidR="00EB2350" w:rsidRDefault="00EB2350" w:rsidP="00EB2350">
      <w:r>
        <w:t xml:space="preserve">. </w:t>
      </w:r>
    </w:p>
    <w:p w:rsidR="00EB2350" w:rsidRDefault="00EB2350" w:rsidP="00EB2350">
      <w:pPr>
        <w:ind w:left="2880" w:firstLine="720"/>
      </w:pPr>
      <w:r>
        <w:t xml:space="preserve">Figure 1 </w:t>
      </w:r>
    </w:p>
    <w:p w:rsidR="00EB2350" w:rsidRDefault="00EB2350" w:rsidP="00EB2350">
      <w:pPr>
        <w:ind w:left="2880" w:hanging="1440"/>
      </w:pPr>
      <w:r>
        <w:t>(Note: 2012 LOI includes 30% success rate of pending days)</w:t>
      </w:r>
    </w:p>
    <w:p w:rsidR="00EB2350" w:rsidRDefault="00EB2350"/>
    <w:p w:rsidR="00EB2350" w:rsidRPr="007436BA" w:rsidRDefault="00EB2350"/>
    <w:p w:rsidR="00EB2350" w:rsidRPr="00017215" w:rsidRDefault="00B26F82" w:rsidP="00810D84">
      <w:pPr>
        <w:pBdr>
          <w:top w:val="single" w:sz="4" w:space="1" w:color="auto"/>
          <w:left w:val="single" w:sz="4" w:space="4" w:color="auto"/>
          <w:bottom w:val="single" w:sz="4" w:space="1" w:color="auto"/>
          <w:right w:val="single" w:sz="4" w:space="4" w:color="auto"/>
        </w:pBdr>
        <w:jc w:val="center"/>
      </w:pPr>
      <w:r>
        <w:rPr>
          <w:noProof/>
        </w:rPr>
        <w:lastRenderedPageBreak/>
        <w:drawing>
          <wp:inline distT="0" distB="0" distL="0" distR="0">
            <wp:extent cx="5486400" cy="374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486400" cy="3743960"/>
                    </a:xfrm>
                    <a:prstGeom prst="rect">
                      <a:avLst/>
                    </a:prstGeom>
                    <a:noFill/>
                    <a:ln w="9525">
                      <a:noFill/>
                      <a:miter lim="800000"/>
                      <a:headEnd/>
                      <a:tailEnd/>
                    </a:ln>
                  </pic:spPr>
                </pic:pic>
              </a:graphicData>
            </a:graphic>
          </wp:inline>
        </w:drawing>
      </w:r>
    </w:p>
    <w:p w:rsidR="00EB2350" w:rsidRDefault="00EB2350" w:rsidP="00EB2350">
      <w:pPr>
        <w:ind w:left="2880" w:firstLine="720"/>
      </w:pPr>
      <w:r>
        <w:t>Figure 2</w:t>
      </w:r>
    </w:p>
    <w:p w:rsidR="00EB2350" w:rsidRPr="00190017" w:rsidRDefault="00EB2350" w:rsidP="00EB2350">
      <w:pPr>
        <w:ind w:left="2880" w:firstLine="720"/>
      </w:pPr>
    </w:p>
    <w:p w:rsidR="00EB2350" w:rsidRDefault="00B26F82" w:rsidP="00810D84">
      <w:pPr>
        <w:jc w:val="center"/>
      </w:pPr>
      <w:r>
        <w:rPr>
          <w:noProof/>
        </w:rPr>
        <w:drawing>
          <wp:inline distT="0" distB="0" distL="0" distR="0">
            <wp:extent cx="5589905" cy="3821430"/>
            <wp:effectExtent l="19050" t="19050" r="1079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589905" cy="3821430"/>
                    </a:xfrm>
                    <a:prstGeom prst="rect">
                      <a:avLst/>
                    </a:prstGeom>
                    <a:noFill/>
                    <a:ln w="6350" cmpd="sng">
                      <a:solidFill>
                        <a:srgbClr val="000000"/>
                      </a:solidFill>
                      <a:miter lim="800000"/>
                      <a:headEnd/>
                      <a:tailEnd/>
                    </a:ln>
                    <a:effectLst/>
                  </pic:spPr>
                </pic:pic>
              </a:graphicData>
            </a:graphic>
          </wp:inline>
        </w:drawing>
      </w:r>
    </w:p>
    <w:p w:rsidR="00EB2350" w:rsidRDefault="00810D84" w:rsidP="00EB2350">
      <w:pPr>
        <w:jc w:val="center"/>
      </w:pPr>
      <w:r>
        <w:t xml:space="preserve">Figure 3 </w:t>
      </w:r>
      <w:r w:rsidR="00EB2350">
        <w:t>(Note: 2012 LOI includes 30% success rate of pending days)</w:t>
      </w:r>
    </w:p>
    <w:p w:rsidR="00EB2350" w:rsidRDefault="00EB2350" w:rsidP="00EB2350"/>
    <w:p w:rsidR="00EB2350" w:rsidRPr="00400F95" w:rsidRDefault="00B26F82" w:rsidP="00EB2350">
      <w:r>
        <w:rPr>
          <w:noProof/>
        </w:rPr>
        <w:drawing>
          <wp:inline distT="0" distB="0" distL="0" distR="0">
            <wp:extent cx="5486400" cy="3743960"/>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86400" cy="3743960"/>
                    </a:xfrm>
                    <a:prstGeom prst="rect">
                      <a:avLst/>
                    </a:prstGeom>
                    <a:noFill/>
                    <a:ln w="6350" cmpd="sng">
                      <a:solidFill>
                        <a:srgbClr val="000000"/>
                      </a:solidFill>
                      <a:miter lim="800000"/>
                      <a:headEnd/>
                      <a:tailEnd/>
                    </a:ln>
                    <a:effectLst/>
                  </pic:spPr>
                </pic:pic>
              </a:graphicData>
            </a:graphic>
          </wp:inline>
        </w:drawing>
      </w:r>
    </w:p>
    <w:p w:rsidR="00EB2350" w:rsidRPr="00752C75" w:rsidRDefault="00EB2350" w:rsidP="00EB2350">
      <w:pPr>
        <w:jc w:val="center"/>
      </w:pPr>
      <w:r>
        <w:t>Figure 4</w:t>
      </w:r>
    </w:p>
    <w:sectPr w:rsidR="00EB2350" w:rsidRPr="00752C7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D7" w:rsidRDefault="00580BD7">
      <w:r>
        <w:separator/>
      </w:r>
    </w:p>
  </w:endnote>
  <w:endnote w:type="continuationSeparator" w:id="0">
    <w:p w:rsidR="00580BD7" w:rsidRDefault="00580B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D7" w:rsidRDefault="00580BD7">
      <w:r>
        <w:separator/>
      </w:r>
    </w:p>
  </w:footnote>
  <w:footnote w:type="continuationSeparator" w:id="0">
    <w:p w:rsidR="00580BD7" w:rsidRDefault="00580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1600"/>
    <w:multiLevelType w:val="hybridMultilevel"/>
    <w:tmpl w:val="8362DB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6D11F9"/>
    <w:multiLevelType w:val="hybridMultilevel"/>
    <w:tmpl w:val="71122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CF1CD7"/>
    <w:multiLevelType w:val="hybridMultilevel"/>
    <w:tmpl w:val="0C9C16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D8770A"/>
    <w:multiLevelType w:val="hybridMultilevel"/>
    <w:tmpl w:val="3070C7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C682C"/>
    <w:multiLevelType w:val="hybridMultilevel"/>
    <w:tmpl w:val="51B28E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D775BD"/>
    <w:multiLevelType w:val="hybridMultilevel"/>
    <w:tmpl w:val="5FBE5B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7C6EC0"/>
    <w:multiLevelType w:val="hybridMultilevel"/>
    <w:tmpl w:val="3086FB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DD0F7A"/>
    <w:multiLevelType w:val="hybridMultilevel"/>
    <w:tmpl w:val="C4323BB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4A52B4"/>
    <w:multiLevelType w:val="hybridMultilevel"/>
    <w:tmpl w:val="DD4C6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701ABC"/>
    <w:multiLevelType w:val="hybridMultilevel"/>
    <w:tmpl w:val="83329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C36E00"/>
    <w:multiLevelType w:val="hybridMultilevel"/>
    <w:tmpl w:val="E47AA9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DB4B24"/>
    <w:multiLevelType w:val="hybridMultilevel"/>
    <w:tmpl w:val="EF842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F5DC7"/>
    <w:multiLevelType w:val="hybridMultilevel"/>
    <w:tmpl w:val="CAF839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EE7505"/>
    <w:multiLevelType w:val="hybridMultilevel"/>
    <w:tmpl w:val="98DA4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727E37"/>
    <w:multiLevelType w:val="hybridMultilevel"/>
    <w:tmpl w:val="7004B1F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4750D8"/>
    <w:multiLevelType w:val="hybridMultilevel"/>
    <w:tmpl w:val="32DC75C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3"/>
  </w:num>
  <w:num w:numId="5">
    <w:abstractNumId w:val="0"/>
  </w:num>
  <w:num w:numId="6">
    <w:abstractNumId w:val="6"/>
  </w:num>
  <w:num w:numId="7">
    <w:abstractNumId w:val="2"/>
  </w:num>
  <w:num w:numId="8">
    <w:abstractNumId w:val="11"/>
  </w:num>
  <w:num w:numId="9">
    <w:abstractNumId w:val="13"/>
  </w:num>
  <w:num w:numId="10">
    <w:abstractNumId w:val="12"/>
  </w:num>
  <w:num w:numId="11">
    <w:abstractNumId w:val="4"/>
  </w:num>
  <w:num w:numId="12">
    <w:abstractNumId w:val="10"/>
  </w:num>
  <w:num w:numId="13">
    <w:abstractNumId w:val="14"/>
  </w:num>
  <w:num w:numId="14">
    <w:abstractNumId w:val="15"/>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hdrShapeDefaults>
    <o:shapedefaults v:ext="edit" spidmax="3074">
      <o:colormenu v:ext="edit" strokecolor="none [3213]"/>
    </o:shapedefaults>
  </w:hdrShapeDefaults>
  <w:footnotePr>
    <w:footnote w:id="-1"/>
    <w:footnote w:id="0"/>
  </w:footnotePr>
  <w:endnotePr>
    <w:endnote w:id="-1"/>
    <w:endnote w:id="0"/>
  </w:endnotePr>
  <w:compat/>
  <w:rsids>
    <w:rsidRoot w:val="00076890"/>
    <w:rsid w:val="00017215"/>
    <w:rsid w:val="0003141B"/>
    <w:rsid w:val="00052216"/>
    <w:rsid w:val="00070DEA"/>
    <w:rsid w:val="000D0CE3"/>
    <w:rsid w:val="001848CD"/>
    <w:rsid w:val="001B1E68"/>
    <w:rsid w:val="002875D2"/>
    <w:rsid w:val="00290800"/>
    <w:rsid w:val="002A3ABE"/>
    <w:rsid w:val="002A5C03"/>
    <w:rsid w:val="002F6081"/>
    <w:rsid w:val="00364E52"/>
    <w:rsid w:val="004B1E89"/>
    <w:rsid w:val="004C7805"/>
    <w:rsid w:val="0057193E"/>
    <w:rsid w:val="00580BD7"/>
    <w:rsid w:val="00662458"/>
    <w:rsid w:val="006A08F6"/>
    <w:rsid w:val="006F2535"/>
    <w:rsid w:val="0070653B"/>
    <w:rsid w:val="007C2A9A"/>
    <w:rsid w:val="00810D84"/>
    <w:rsid w:val="00836B50"/>
    <w:rsid w:val="008C3529"/>
    <w:rsid w:val="00910C63"/>
    <w:rsid w:val="009262EF"/>
    <w:rsid w:val="00960514"/>
    <w:rsid w:val="009C4A68"/>
    <w:rsid w:val="00A976F8"/>
    <w:rsid w:val="00B0649A"/>
    <w:rsid w:val="00B26F82"/>
    <w:rsid w:val="00B94384"/>
    <w:rsid w:val="00BE6977"/>
    <w:rsid w:val="00CB7F18"/>
    <w:rsid w:val="00CF1113"/>
    <w:rsid w:val="00CF2655"/>
    <w:rsid w:val="00D9149E"/>
    <w:rsid w:val="00D97062"/>
    <w:rsid w:val="00EB2350"/>
    <w:rsid w:val="00F22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17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B1EEA"/>
    <w:rPr>
      <w:rFonts w:ascii="Courier New" w:hAnsi="Courier New" w:cs="Courier New"/>
      <w:sz w:val="20"/>
      <w:szCs w:val="20"/>
    </w:rPr>
  </w:style>
  <w:style w:type="paragraph" w:styleId="NormalWeb">
    <w:name w:val="Normal (Web)"/>
    <w:basedOn w:val="Normal"/>
    <w:rsid w:val="009B1EEA"/>
    <w:pPr>
      <w:spacing w:before="100" w:beforeAutospacing="1" w:after="100" w:afterAutospacing="1"/>
    </w:pPr>
  </w:style>
  <w:style w:type="character" w:styleId="Hyperlink">
    <w:name w:val="Hyperlink"/>
    <w:basedOn w:val="DefaultParagraphFont"/>
    <w:rsid w:val="002E0482"/>
    <w:rPr>
      <w:color w:val="0000FF"/>
      <w:u w:val="single"/>
    </w:rPr>
  </w:style>
  <w:style w:type="paragraph" w:styleId="BalloonText">
    <w:name w:val="Balloon Text"/>
    <w:basedOn w:val="Normal"/>
    <w:semiHidden/>
    <w:rsid w:val="00523C17"/>
    <w:rPr>
      <w:rFonts w:ascii="Tahoma" w:hAnsi="Tahoma" w:cs="Tahoma"/>
      <w:sz w:val="16"/>
      <w:szCs w:val="16"/>
    </w:rPr>
  </w:style>
  <w:style w:type="character" w:styleId="CommentReference">
    <w:name w:val="annotation reference"/>
    <w:basedOn w:val="DefaultParagraphFont"/>
    <w:semiHidden/>
    <w:rsid w:val="008A3730"/>
    <w:rPr>
      <w:sz w:val="16"/>
      <w:szCs w:val="16"/>
    </w:rPr>
  </w:style>
  <w:style w:type="paragraph" w:styleId="CommentText">
    <w:name w:val="annotation text"/>
    <w:basedOn w:val="Normal"/>
    <w:semiHidden/>
    <w:rsid w:val="008A3730"/>
    <w:rPr>
      <w:sz w:val="20"/>
      <w:szCs w:val="20"/>
    </w:rPr>
  </w:style>
  <w:style w:type="paragraph" w:styleId="CommentSubject">
    <w:name w:val="annotation subject"/>
    <w:basedOn w:val="CommentText"/>
    <w:next w:val="CommentText"/>
    <w:semiHidden/>
    <w:rsid w:val="008A3730"/>
    <w:rPr>
      <w:b/>
      <w:bCs/>
    </w:rPr>
  </w:style>
  <w:style w:type="paragraph" w:styleId="List2">
    <w:name w:val="List 2"/>
    <w:basedOn w:val="Normal"/>
    <w:rsid w:val="003E67D3"/>
    <w:pPr>
      <w:ind w:left="720" w:hanging="360"/>
    </w:pPr>
  </w:style>
  <w:style w:type="paragraph" w:styleId="BodyText">
    <w:name w:val="Body Text"/>
    <w:basedOn w:val="Normal"/>
    <w:rsid w:val="003E67D3"/>
    <w:pPr>
      <w:spacing w:after="120"/>
    </w:pPr>
  </w:style>
  <w:style w:type="paragraph" w:styleId="Header">
    <w:name w:val="header"/>
    <w:basedOn w:val="Normal"/>
    <w:rsid w:val="00A20598"/>
    <w:pPr>
      <w:tabs>
        <w:tab w:val="center" w:pos="4320"/>
        <w:tab w:val="right" w:pos="8640"/>
      </w:tabs>
    </w:pPr>
  </w:style>
  <w:style w:type="paragraph" w:styleId="Footer">
    <w:name w:val="footer"/>
    <w:basedOn w:val="Normal"/>
    <w:rsid w:val="00A20598"/>
    <w:pPr>
      <w:tabs>
        <w:tab w:val="center" w:pos="4320"/>
        <w:tab w:val="right" w:pos="8640"/>
      </w:tabs>
    </w:pPr>
  </w:style>
  <w:style w:type="paragraph" w:styleId="ListParagraph">
    <w:name w:val="List Paragraph"/>
    <w:basedOn w:val="Normal"/>
    <w:uiPriority w:val="34"/>
    <w:qFormat/>
    <w:rsid w:val="006A08F6"/>
    <w:pPr>
      <w:ind w:left="720"/>
    </w:pPr>
  </w:style>
</w:styles>
</file>

<file path=word/webSettings.xml><?xml version="1.0" encoding="utf-8"?>
<w:webSettings xmlns:r="http://schemas.openxmlformats.org/officeDocument/2006/relationships" xmlns:w="http://schemas.openxmlformats.org/wordprocessingml/2006/main">
  <w:divs>
    <w:div w:id="732771430">
      <w:bodyDiv w:val="1"/>
      <w:marLeft w:val="0"/>
      <w:marRight w:val="0"/>
      <w:marTop w:val="0"/>
      <w:marBottom w:val="0"/>
      <w:divBdr>
        <w:top w:val="none" w:sz="0" w:space="0" w:color="auto"/>
        <w:left w:val="none" w:sz="0" w:space="0" w:color="auto"/>
        <w:bottom w:val="none" w:sz="0" w:space="0" w:color="auto"/>
        <w:right w:val="none" w:sz="0" w:space="0" w:color="auto"/>
      </w:divBdr>
    </w:div>
    <w:div w:id="842477447">
      <w:bodyDiv w:val="1"/>
      <w:marLeft w:val="0"/>
      <w:marRight w:val="0"/>
      <w:marTop w:val="0"/>
      <w:marBottom w:val="0"/>
      <w:divBdr>
        <w:top w:val="none" w:sz="0" w:space="0" w:color="auto"/>
        <w:left w:val="none" w:sz="0" w:space="0" w:color="auto"/>
        <w:bottom w:val="none" w:sz="0" w:space="0" w:color="auto"/>
        <w:right w:val="none" w:sz="0" w:space="0" w:color="auto"/>
      </w:divBdr>
    </w:div>
    <w:div w:id="938951546">
      <w:bodyDiv w:val="1"/>
      <w:marLeft w:val="0"/>
      <w:marRight w:val="0"/>
      <w:marTop w:val="0"/>
      <w:marBottom w:val="0"/>
      <w:divBdr>
        <w:top w:val="none" w:sz="0" w:space="0" w:color="auto"/>
        <w:left w:val="none" w:sz="0" w:space="0" w:color="auto"/>
        <w:bottom w:val="none" w:sz="0" w:space="0" w:color="auto"/>
        <w:right w:val="none" w:sz="0" w:space="0" w:color="auto"/>
      </w:divBdr>
    </w:div>
    <w:div w:id="18845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ols.org/publications/reports/budget_impacts/NonOp_Process_Recm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7652</CharactersWithSpaces>
  <SharedDoc>false</SharedDoc>
  <HLinks>
    <vt:vector size="6" baseType="variant">
      <vt:variant>
        <vt:i4>6029435</vt:i4>
      </vt:variant>
      <vt:variant>
        <vt:i4>0</vt:i4>
      </vt:variant>
      <vt:variant>
        <vt:i4>0</vt:i4>
      </vt:variant>
      <vt:variant>
        <vt:i4>5</vt:i4>
      </vt:variant>
      <vt:variant>
        <vt:lpwstr>http://www.unols.org/publications/reports/budget_impacts/NonOp_Process_Recmd.pdf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NSFUSER</dc:creator>
  <cp:keywords/>
  <cp:lastModifiedBy>bmidson</cp:lastModifiedBy>
  <cp:revision>2</cp:revision>
  <cp:lastPrinted>2011-09-19T15:37:00Z</cp:lastPrinted>
  <dcterms:created xsi:type="dcterms:W3CDTF">2011-09-26T13:12:00Z</dcterms:created>
  <dcterms:modified xsi:type="dcterms:W3CDTF">2011-09-26T13:12:00Z</dcterms:modified>
</cp:coreProperties>
</file>