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emf" ContentType="image/x-emf"/>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350" w:rsidRDefault="00EB2350" w:rsidP="00EB2350">
      <w:pPr>
        <w:rPr>
          <w:b/>
        </w:rPr>
      </w:pPr>
    </w:p>
    <w:p w:rsidR="00810D84" w:rsidRDefault="00810D84" w:rsidP="00EB2350">
      <w:pPr>
        <w:rPr>
          <w:b/>
        </w:rPr>
      </w:pPr>
    </w:p>
    <w:p w:rsidR="00EB2350" w:rsidRDefault="00EB2350" w:rsidP="00EB2350">
      <w:pPr>
        <w:rPr>
          <w:b/>
        </w:rPr>
      </w:pPr>
      <w:r w:rsidRPr="0011379C">
        <w:rPr>
          <w:b/>
        </w:rPr>
        <w:t>Recommendations</w:t>
      </w:r>
      <w:r w:rsidR="00810D84">
        <w:rPr>
          <w:b/>
        </w:rPr>
        <w:t>:</w:t>
      </w:r>
    </w:p>
    <w:p w:rsidR="00EB2350" w:rsidRDefault="00EB2350" w:rsidP="00EB2350">
      <w:pPr>
        <w:rPr>
          <w:b/>
        </w:rPr>
      </w:pPr>
    </w:p>
    <w:p w:rsidR="00EB2350" w:rsidRDefault="00EB2350" w:rsidP="00EB2350">
      <w:pPr>
        <w:numPr>
          <w:ilvl w:val="0"/>
          <w:numId w:val="15"/>
        </w:numPr>
      </w:pPr>
      <w:r>
        <w:t xml:space="preserve">The </w:t>
      </w:r>
      <w:r w:rsidRPr="006C5B78">
        <w:rPr>
          <w:i/>
        </w:rPr>
        <w:t>Oceanus</w:t>
      </w:r>
      <w:r>
        <w:t xml:space="preserve"> will be retired at the end of 2011.</w:t>
      </w:r>
    </w:p>
    <w:p w:rsidR="00D43224" w:rsidRDefault="00D43224" w:rsidP="00EB2350"/>
    <w:p w:rsidR="00D43224" w:rsidRDefault="00D43224" w:rsidP="00EB2350">
      <w:r>
        <w:t>Agree</w:t>
      </w:r>
    </w:p>
    <w:p w:rsidR="00EB2350" w:rsidRDefault="00EB2350" w:rsidP="00EB2350">
      <w:r>
        <w:t xml:space="preserve"> </w:t>
      </w:r>
    </w:p>
    <w:p w:rsidR="00EB2350" w:rsidRDefault="00EB2350" w:rsidP="00EB2350">
      <w:pPr>
        <w:numPr>
          <w:ilvl w:val="0"/>
          <w:numId w:val="15"/>
        </w:numPr>
      </w:pPr>
      <w:r>
        <w:t>Mainten</w:t>
      </w:r>
      <w:r w:rsidR="00D43224">
        <w:t>ance periods in the vessel home</w:t>
      </w:r>
      <w:r>
        <w:t xml:space="preserve">port are strongly encouraged both as a cost saving measure as well as an opportunity to conduct preventative maintenance. </w:t>
      </w:r>
    </w:p>
    <w:p w:rsidR="00D43224" w:rsidRDefault="00D43224" w:rsidP="00EB2350"/>
    <w:p w:rsidR="00D43224" w:rsidRDefault="00D43224" w:rsidP="00EB2350">
      <w:r>
        <w:t>There might be geographic opportune locations to stage the vessels during their lay-up period (example Gulf of Mexico coastal states).</w:t>
      </w:r>
    </w:p>
    <w:p w:rsidR="00D43224" w:rsidRDefault="00D43224" w:rsidP="00EB2350"/>
    <w:p w:rsidR="00D43224" w:rsidRDefault="00D43224" w:rsidP="00EB2350">
      <w:r>
        <w:t>Strategically locate the vessels.</w:t>
      </w:r>
    </w:p>
    <w:p w:rsidR="00EB2350" w:rsidRDefault="00EB2350" w:rsidP="00EB2350"/>
    <w:p w:rsidR="00EB2350" w:rsidRDefault="00EB2350" w:rsidP="00EB2350">
      <w:pPr>
        <w:numPr>
          <w:ilvl w:val="0"/>
          <w:numId w:val="15"/>
        </w:numPr>
      </w:pPr>
      <w:r>
        <w:t xml:space="preserve">If no additional work is identified when the final schedules are completed, it may be necessary for NSF to consider providing some funds to support extended maintenance or partial layup periods for the NSF-owned ships, </w:t>
      </w:r>
      <w:r w:rsidRPr="009A5257">
        <w:rPr>
          <w:i/>
        </w:rPr>
        <w:t>Cape Hatteras</w:t>
      </w:r>
      <w:r>
        <w:t xml:space="preserve"> </w:t>
      </w:r>
      <w:r w:rsidRPr="00264DBE">
        <w:t xml:space="preserve">and </w:t>
      </w:r>
      <w:r w:rsidRPr="009974AD">
        <w:rPr>
          <w:i/>
        </w:rPr>
        <w:t>Point Sur</w:t>
      </w:r>
      <w:r>
        <w:rPr>
          <w:i/>
        </w:rPr>
        <w:t xml:space="preserve">. </w:t>
      </w:r>
    </w:p>
    <w:p w:rsidR="00D43224" w:rsidRDefault="00D43224" w:rsidP="00EB2350"/>
    <w:p w:rsidR="00D43224" w:rsidRDefault="00D43224" w:rsidP="00EB2350">
      <w:r>
        <w:t>Use some of the lay-up funds to transit to the Gulf.  This would reduce the cost for potential users in the Gulf.</w:t>
      </w:r>
    </w:p>
    <w:p w:rsidR="00D43224" w:rsidRDefault="00D43224" w:rsidP="00EB2350"/>
    <w:p w:rsidR="00D43224" w:rsidRDefault="00D43224" w:rsidP="00EB2350"/>
    <w:p w:rsidR="00EB2350" w:rsidRDefault="00EB2350" w:rsidP="00EB2350"/>
    <w:p w:rsidR="002D4C24" w:rsidRDefault="00EB2350" w:rsidP="00EB2350">
      <w:pPr>
        <w:numPr>
          <w:ilvl w:val="0"/>
          <w:numId w:val="15"/>
        </w:numPr>
      </w:pPr>
      <w:r>
        <w:t xml:space="preserve">Encourage operators of all ships to find ways to reduce costs and seek appropriate opportunities to support research and education programs supported by other funding sources. </w:t>
      </w:r>
    </w:p>
    <w:p w:rsidR="00EB2350" w:rsidRDefault="002D4C24" w:rsidP="002D4C24">
      <w:r>
        <w:t>Agree</w:t>
      </w:r>
    </w:p>
    <w:p w:rsidR="00EB2350" w:rsidRDefault="00EB2350" w:rsidP="00EB2350"/>
    <w:p w:rsidR="00EB2350" w:rsidRDefault="00EB2350" w:rsidP="00EB2350">
      <w:pPr>
        <w:numPr>
          <w:ilvl w:val="0"/>
          <w:numId w:val="15"/>
        </w:numPr>
      </w:pPr>
      <w:r>
        <w:t xml:space="preserve">Emphasize to operators of institution-owned ships that they must decide if their planned schedule can support the cost to operate. </w:t>
      </w:r>
    </w:p>
    <w:p w:rsidR="002D4C24" w:rsidRDefault="002D4C24" w:rsidP="00EB2350"/>
    <w:p w:rsidR="002D4C24" w:rsidRDefault="0028123E" w:rsidP="00EB2350">
      <w:r>
        <w:t>Agree</w:t>
      </w:r>
    </w:p>
    <w:p w:rsidR="00EB2350" w:rsidRDefault="00EB2350" w:rsidP="00EB2350"/>
    <w:p w:rsidR="00EB2350" w:rsidRDefault="00EB2350" w:rsidP="00EB2350">
      <w:pPr>
        <w:numPr>
          <w:ilvl w:val="0"/>
          <w:numId w:val="15"/>
        </w:numPr>
      </w:pPr>
      <w:r>
        <w:t xml:space="preserve"> A survey was conducted in 2011 of the possible causes for the recent decline in </w:t>
      </w:r>
      <w:proofErr w:type="spellStart"/>
      <w:r>
        <w:t>shiptime</w:t>
      </w:r>
      <w:proofErr w:type="spellEnd"/>
      <w:r>
        <w:t xml:space="preserve"> request demand.  Examination of the survey responses and development of strategies for addressing the ship time demand decline is recommended. </w:t>
      </w:r>
    </w:p>
    <w:p w:rsidR="0028123E" w:rsidRDefault="0028123E" w:rsidP="00910C63"/>
    <w:p w:rsidR="0028123E" w:rsidRDefault="0028123E" w:rsidP="00910C63"/>
    <w:p w:rsidR="0028123E" w:rsidRDefault="0028123E" w:rsidP="00910C63"/>
    <w:p w:rsidR="00910C63" w:rsidRDefault="00910C63" w:rsidP="00910C63"/>
    <w:p w:rsidR="00910C63" w:rsidRPr="002B7E64" w:rsidRDefault="00910C63" w:rsidP="00EB2350">
      <w:pPr>
        <w:numPr>
          <w:ilvl w:val="0"/>
          <w:numId w:val="15"/>
        </w:numPr>
      </w:pPr>
      <w:r>
        <w:t xml:space="preserve"> UNOLS Council </w:t>
      </w:r>
      <w:r w:rsidR="007C2A9A">
        <w:t xml:space="preserve">is encouraged </w:t>
      </w:r>
      <w:r>
        <w:t xml:space="preserve">to begin </w:t>
      </w:r>
      <w:r w:rsidR="007C2A9A">
        <w:t>a</w:t>
      </w:r>
      <w:r>
        <w:t xml:space="preserve"> dialogue with the federal agencies on how to reduce the size of the Fleet within the context of the declining demand, utilization, and potential for declining federal budgets.  </w:t>
      </w:r>
    </w:p>
    <w:p w:rsidR="00EB2350" w:rsidRPr="0011379C" w:rsidRDefault="00EB2350" w:rsidP="00EB2350">
      <w:pPr>
        <w:rPr>
          <w:b/>
        </w:rPr>
      </w:pPr>
    </w:p>
    <w:p w:rsidR="00621757" w:rsidRDefault="00621757" w:rsidP="00EB2350">
      <w:pPr>
        <w:spacing w:after="120"/>
      </w:pPr>
      <w:proofErr w:type="spellStart"/>
      <w:r>
        <w:t>Analysist</w:t>
      </w:r>
      <w:proofErr w:type="spellEnd"/>
    </w:p>
    <w:p w:rsidR="00665E87" w:rsidRDefault="00665E87" w:rsidP="00EB2350">
      <w:pPr>
        <w:spacing w:after="120"/>
      </w:pPr>
    </w:p>
    <w:p w:rsidR="0028123E" w:rsidRDefault="00665E87" w:rsidP="00EB2350">
      <w:pPr>
        <w:spacing w:after="120"/>
      </w:pPr>
      <w:r>
        <w:t xml:space="preserve">We agree with this recommendation that however, we need </w:t>
      </w:r>
      <w:proofErr w:type="spellStart"/>
      <w:proofErr w:type="gramStart"/>
      <w:r>
        <w:t>ot</w:t>
      </w:r>
      <w:proofErr w:type="spellEnd"/>
      <w:proofErr w:type="gramEnd"/>
      <w:r>
        <w:t xml:space="preserve"> continue the initiatives for Fleet Renewal that are currently underway</w:t>
      </w:r>
    </w:p>
    <w:p w:rsidR="00665E87" w:rsidRDefault="00665E87" w:rsidP="00EB2350">
      <w:pPr>
        <w:spacing w:after="120"/>
      </w:pPr>
    </w:p>
    <w:p w:rsidR="00EB2350" w:rsidRDefault="00665E87" w:rsidP="00EB2350">
      <w:pPr>
        <w:spacing w:after="120"/>
      </w:pPr>
      <w:r>
        <w:t>This needs to be looked at on a Federal level to work towards a more integrated federal fleet.</w:t>
      </w:r>
    </w:p>
    <w:p w:rsidR="00EB2350" w:rsidRDefault="00EB2350" w:rsidP="00EB2350"/>
    <w:p w:rsidR="00EB2350" w:rsidRDefault="00EB2350" w:rsidP="00EB2350"/>
    <w:p w:rsidR="00EB2350" w:rsidRPr="00017215" w:rsidRDefault="00B26F82" w:rsidP="00EB2350">
      <w:r>
        <w:rPr>
          <w:noProof/>
        </w:rPr>
        <w:drawing>
          <wp:inline distT="0" distB="0" distL="0" distR="0">
            <wp:extent cx="5486400" cy="3743960"/>
            <wp:effectExtent l="19050" t="19050" r="19050" b="279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86400" cy="3743960"/>
                    </a:xfrm>
                    <a:prstGeom prst="rect">
                      <a:avLst/>
                    </a:prstGeom>
                    <a:noFill/>
                    <a:ln w="6350" cmpd="sng">
                      <a:solidFill>
                        <a:srgbClr val="000000"/>
                      </a:solidFill>
                      <a:miter lim="800000"/>
                      <a:headEnd/>
                      <a:tailEnd/>
                    </a:ln>
                    <a:effectLst/>
                  </pic:spPr>
                </pic:pic>
              </a:graphicData>
            </a:graphic>
          </wp:inline>
        </w:drawing>
      </w:r>
    </w:p>
    <w:p w:rsidR="00EB2350" w:rsidRDefault="00EB2350" w:rsidP="00EB2350">
      <w:r>
        <w:t xml:space="preserve">. </w:t>
      </w:r>
    </w:p>
    <w:p w:rsidR="00EB2350" w:rsidRDefault="00EB2350" w:rsidP="00EB2350">
      <w:pPr>
        <w:ind w:left="2880" w:firstLine="720"/>
      </w:pPr>
      <w:r>
        <w:t xml:space="preserve">Figure 1 </w:t>
      </w:r>
    </w:p>
    <w:p w:rsidR="00EB2350" w:rsidRDefault="00EB2350" w:rsidP="00EB2350">
      <w:pPr>
        <w:ind w:left="2880" w:hanging="1440"/>
      </w:pPr>
      <w:r>
        <w:t>(Note: 2012 LOI includes 30% success rate of pending days)</w:t>
      </w:r>
    </w:p>
    <w:p w:rsidR="00EB2350" w:rsidRDefault="00EB2350"/>
    <w:p w:rsidR="00EB2350" w:rsidRPr="007436BA" w:rsidRDefault="00EB2350"/>
    <w:p w:rsidR="00EB2350" w:rsidRPr="00017215" w:rsidRDefault="00B26F82" w:rsidP="00810D84">
      <w:pPr>
        <w:pBdr>
          <w:top w:val="single" w:sz="4" w:space="1" w:color="auto"/>
          <w:left w:val="single" w:sz="4" w:space="4" w:color="auto"/>
          <w:bottom w:val="single" w:sz="4" w:space="1" w:color="auto"/>
          <w:right w:val="single" w:sz="4" w:space="4" w:color="auto"/>
        </w:pBdr>
        <w:jc w:val="center"/>
      </w:pPr>
      <w:r>
        <w:rPr>
          <w:noProof/>
        </w:rPr>
        <w:drawing>
          <wp:inline distT="0" distB="0" distL="0" distR="0">
            <wp:extent cx="5486400" cy="37439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486400" cy="3743960"/>
                    </a:xfrm>
                    <a:prstGeom prst="rect">
                      <a:avLst/>
                    </a:prstGeom>
                    <a:noFill/>
                    <a:ln w="9525">
                      <a:noFill/>
                      <a:miter lim="800000"/>
                      <a:headEnd/>
                      <a:tailEnd/>
                    </a:ln>
                  </pic:spPr>
                </pic:pic>
              </a:graphicData>
            </a:graphic>
          </wp:inline>
        </w:drawing>
      </w:r>
    </w:p>
    <w:p w:rsidR="00EB2350" w:rsidRDefault="00EB2350" w:rsidP="00EB2350">
      <w:pPr>
        <w:ind w:left="2880" w:firstLine="720"/>
      </w:pPr>
      <w:r>
        <w:t>Figure 2</w:t>
      </w:r>
    </w:p>
    <w:p w:rsidR="00EB2350" w:rsidRPr="00190017" w:rsidRDefault="00EB2350" w:rsidP="00EB2350">
      <w:pPr>
        <w:ind w:left="2880" w:firstLine="720"/>
      </w:pPr>
    </w:p>
    <w:p w:rsidR="00EB2350" w:rsidRDefault="00B26F82" w:rsidP="00810D84">
      <w:pPr>
        <w:jc w:val="center"/>
      </w:pPr>
      <w:r>
        <w:rPr>
          <w:noProof/>
        </w:rPr>
        <w:drawing>
          <wp:inline distT="0" distB="0" distL="0" distR="0">
            <wp:extent cx="5589905" cy="3821430"/>
            <wp:effectExtent l="19050" t="19050" r="10795" b="266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589905" cy="3821430"/>
                    </a:xfrm>
                    <a:prstGeom prst="rect">
                      <a:avLst/>
                    </a:prstGeom>
                    <a:noFill/>
                    <a:ln w="6350" cmpd="sng">
                      <a:solidFill>
                        <a:srgbClr val="000000"/>
                      </a:solidFill>
                      <a:miter lim="800000"/>
                      <a:headEnd/>
                      <a:tailEnd/>
                    </a:ln>
                    <a:effectLst/>
                  </pic:spPr>
                </pic:pic>
              </a:graphicData>
            </a:graphic>
          </wp:inline>
        </w:drawing>
      </w:r>
    </w:p>
    <w:p w:rsidR="00EB2350" w:rsidRDefault="00810D84" w:rsidP="00EB2350">
      <w:pPr>
        <w:jc w:val="center"/>
      </w:pPr>
      <w:r>
        <w:t xml:space="preserve">Figure 3 </w:t>
      </w:r>
      <w:r w:rsidR="00EB2350">
        <w:t>(Note: 2012 LOI includes 30% success rate of pending days)</w:t>
      </w:r>
    </w:p>
    <w:p w:rsidR="00EB2350" w:rsidRDefault="00EB2350" w:rsidP="00EB2350"/>
    <w:p w:rsidR="00EB2350" w:rsidRPr="00400F95" w:rsidRDefault="00B26F82" w:rsidP="00EB2350">
      <w:r>
        <w:rPr>
          <w:noProof/>
        </w:rPr>
        <w:drawing>
          <wp:inline distT="0" distB="0" distL="0" distR="0">
            <wp:extent cx="5486400" cy="3743960"/>
            <wp:effectExtent l="19050" t="19050" r="19050" b="279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5486400" cy="3743960"/>
                    </a:xfrm>
                    <a:prstGeom prst="rect">
                      <a:avLst/>
                    </a:prstGeom>
                    <a:noFill/>
                    <a:ln w="6350" cmpd="sng">
                      <a:solidFill>
                        <a:srgbClr val="000000"/>
                      </a:solidFill>
                      <a:miter lim="800000"/>
                      <a:headEnd/>
                      <a:tailEnd/>
                    </a:ln>
                    <a:effectLst/>
                  </pic:spPr>
                </pic:pic>
              </a:graphicData>
            </a:graphic>
          </wp:inline>
        </w:drawing>
      </w:r>
    </w:p>
    <w:p w:rsidR="00EB2350" w:rsidRPr="00752C75" w:rsidRDefault="00EB2350" w:rsidP="00EB2350">
      <w:pPr>
        <w:jc w:val="center"/>
      </w:pPr>
      <w:r>
        <w:t>Figure 4</w:t>
      </w:r>
    </w:p>
    <w:sectPr w:rsidR="00EB2350" w:rsidRPr="00752C75" w:rsidSect="000129F5">
      <w:pgSz w:w="12240" w:h="15840"/>
      <w:pgMar w:top="1440" w:right="1800" w:bottom="1440" w:left="180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E87" w:rsidRDefault="00665E87">
      <w:r>
        <w:separator/>
      </w:r>
    </w:p>
  </w:endnote>
  <w:endnote w:type="continuationSeparator" w:id="0">
    <w:p w:rsidR="00665E87" w:rsidRDefault="00665E8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E87" w:rsidRDefault="00665E87">
      <w:r>
        <w:separator/>
      </w:r>
    </w:p>
  </w:footnote>
  <w:footnote w:type="continuationSeparator" w:id="0">
    <w:p w:rsidR="00665E87" w:rsidRDefault="00665E8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91600"/>
    <w:multiLevelType w:val="hybridMultilevel"/>
    <w:tmpl w:val="8362DB5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96D11F9"/>
    <w:multiLevelType w:val="hybridMultilevel"/>
    <w:tmpl w:val="711228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BCF1CD7"/>
    <w:multiLevelType w:val="hybridMultilevel"/>
    <w:tmpl w:val="0C9C16E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D8770A"/>
    <w:multiLevelType w:val="hybridMultilevel"/>
    <w:tmpl w:val="3070C72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EC682C"/>
    <w:multiLevelType w:val="hybridMultilevel"/>
    <w:tmpl w:val="51B28EB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8D775BD"/>
    <w:multiLevelType w:val="hybridMultilevel"/>
    <w:tmpl w:val="5FBE5B0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B7C6EC0"/>
    <w:multiLevelType w:val="hybridMultilevel"/>
    <w:tmpl w:val="3086FBC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DD0F7A"/>
    <w:multiLevelType w:val="hybridMultilevel"/>
    <w:tmpl w:val="C4323BB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4A52B4"/>
    <w:multiLevelType w:val="hybridMultilevel"/>
    <w:tmpl w:val="DD4C69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5701ABC"/>
    <w:multiLevelType w:val="hybridMultilevel"/>
    <w:tmpl w:val="833296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5C36E00"/>
    <w:multiLevelType w:val="hybridMultilevel"/>
    <w:tmpl w:val="E47AA95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9DB4B24"/>
    <w:multiLevelType w:val="hybridMultilevel"/>
    <w:tmpl w:val="EF842F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F0F5DC7"/>
    <w:multiLevelType w:val="hybridMultilevel"/>
    <w:tmpl w:val="CAF8398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2EE7505"/>
    <w:multiLevelType w:val="hybridMultilevel"/>
    <w:tmpl w:val="98DA49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4727E37"/>
    <w:multiLevelType w:val="hybridMultilevel"/>
    <w:tmpl w:val="7004B1F0"/>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A4750D8"/>
    <w:multiLevelType w:val="hybridMultilevel"/>
    <w:tmpl w:val="32DC75C0"/>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5"/>
  </w:num>
  <w:num w:numId="4">
    <w:abstractNumId w:val="3"/>
  </w:num>
  <w:num w:numId="5">
    <w:abstractNumId w:val="0"/>
  </w:num>
  <w:num w:numId="6">
    <w:abstractNumId w:val="6"/>
  </w:num>
  <w:num w:numId="7">
    <w:abstractNumId w:val="2"/>
  </w:num>
  <w:num w:numId="8">
    <w:abstractNumId w:val="11"/>
  </w:num>
  <w:num w:numId="9">
    <w:abstractNumId w:val="13"/>
  </w:num>
  <w:num w:numId="10">
    <w:abstractNumId w:val="12"/>
  </w:num>
  <w:num w:numId="11">
    <w:abstractNumId w:val="4"/>
  </w:num>
  <w:num w:numId="12">
    <w:abstractNumId w:val="10"/>
  </w:num>
  <w:num w:numId="13">
    <w:abstractNumId w:val="14"/>
  </w:num>
  <w:num w:numId="14">
    <w:abstractNumId w:val="15"/>
  </w:num>
  <w:num w:numId="15">
    <w:abstractNumId w:val="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701"/>
  <w:doNotTrackMoves/>
  <w:defaultTabStop w:val="720"/>
  <w:characterSpacingControl w:val="doNotCompress"/>
  <w:hdrShapeDefaults>
    <o:shapedefaults v:ext="edit" spidmax="2050">
      <o:colormenu v:ext="edit" strokecolor="none [3213]"/>
    </o:shapedefaults>
  </w:hdrShapeDefaults>
  <w:footnotePr>
    <w:footnote w:id="-1"/>
    <w:footnote w:id="0"/>
  </w:footnotePr>
  <w:endnotePr>
    <w:endnote w:id="-1"/>
    <w:endnote w:id="0"/>
  </w:endnotePr>
  <w:compat/>
  <w:rsids>
    <w:rsidRoot w:val="00076890"/>
    <w:rsid w:val="000129F5"/>
    <w:rsid w:val="00017215"/>
    <w:rsid w:val="0003141B"/>
    <w:rsid w:val="00052216"/>
    <w:rsid w:val="00070DEA"/>
    <w:rsid w:val="00076890"/>
    <w:rsid w:val="000D0CE3"/>
    <w:rsid w:val="001848CD"/>
    <w:rsid w:val="001B1E68"/>
    <w:rsid w:val="0028123E"/>
    <w:rsid w:val="002875D2"/>
    <w:rsid w:val="00290800"/>
    <w:rsid w:val="002A3ABE"/>
    <w:rsid w:val="002A5C03"/>
    <w:rsid w:val="002D4C24"/>
    <w:rsid w:val="002F6081"/>
    <w:rsid w:val="00364E52"/>
    <w:rsid w:val="004B1E89"/>
    <w:rsid w:val="004C7805"/>
    <w:rsid w:val="0057193E"/>
    <w:rsid w:val="00580BD7"/>
    <w:rsid w:val="00621757"/>
    <w:rsid w:val="00662458"/>
    <w:rsid w:val="00665E87"/>
    <w:rsid w:val="006A08F6"/>
    <w:rsid w:val="006F2535"/>
    <w:rsid w:val="0070653B"/>
    <w:rsid w:val="007140CD"/>
    <w:rsid w:val="007C2A9A"/>
    <w:rsid w:val="00810D84"/>
    <w:rsid w:val="00825648"/>
    <w:rsid w:val="00836B50"/>
    <w:rsid w:val="008C3529"/>
    <w:rsid w:val="00910C63"/>
    <w:rsid w:val="009262EF"/>
    <w:rsid w:val="00960514"/>
    <w:rsid w:val="009C4A68"/>
    <w:rsid w:val="00A976F8"/>
    <w:rsid w:val="00B0649A"/>
    <w:rsid w:val="00B26F82"/>
    <w:rsid w:val="00B94384"/>
    <w:rsid w:val="00BE6977"/>
    <w:rsid w:val="00CB7F18"/>
    <w:rsid w:val="00CF1113"/>
    <w:rsid w:val="00CF2655"/>
    <w:rsid w:val="00D43224"/>
    <w:rsid w:val="00D9149E"/>
    <w:rsid w:val="00D97062"/>
    <w:rsid w:val="00EB2350"/>
    <w:rsid w:val="00F22207"/>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9F5"/>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rsid w:val="002171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rsid w:val="009B1EEA"/>
    <w:rPr>
      <w:rFonts w:ascii="Courier New" w:hAnsi="Courier New" w:cs="Courier New"/>
      <w:sz w:val="20"/>
      <w:szCs w:val="20"/>
    </w:rPr>
  </w:style>
  <w:style w:type="paragraph" w:styleId="NormalWeb">
    <w:name w:val="Normal (Web)"/>
    <w:basedOn w:val="Normal"/>
    <w:rsid w:val="009B1EEA"/>
    <w:pPr>
      <w:spacing w:before="100" w:beforeAutospacing="1" w:after="100" w:afterAutospacing="1"/>
    </w:pPr>
  </w:style>
  <w:style w:type="character" w:styleId="Hyperlink">
    <w:name w:val="Hyperlink"/>
    <w:basedOn w:val="DefaultParagraphFont"/>
    <w:rsid w:val="002E0482"/>
    <w:rPr>
      <w:color w:val="0000FF"/>
      <w:u w:val="single"/>
    </w:rPr>
  </w:style>
  <w:style w:type="paragraph" w:styleId="BalloonText">
    <w:name w:val="Balloon Text"/>
    <w:basedOn w:val="Normal"/>
    <w:semiHidden/>
    <w:rsid w:val="00523C17"/>
    <w:rPr>
      <w:rFonts w:ascii="Tahoma" w:hAnsi="Tahoma" w:cs="Tahoma"/>
      <w:sz w:val="16"/>
      <w:szCs w:val="16"/>
    </w:rPr>
  </w:style>
  <w:style w:type="character" w:styleId="CommentReference">
    <w:name w:val="annotation reference"/>
    <w:basedOn w:val="DefaultParagraphFont"/>
    <w:semiHidden/>
    <w:rsid w:val="008A3730"/>
    <w:rPr>
      <w:sz w:val="16"/>
      <w:szCs w:val="16"/>
    </w:rPr>
  </w:style>
  <w:style w:type="paragraph" w:styleId="CommentText">
    <w:name w:val="annotation text"/>
    <w:basedOn w:val="Normal"/>
    <w:semiHidden/>
    <w:rsid w:val="008A3730"/>
    <w:rPr>
      <w:sz w:val="20"/>
      <w:szCs w:val="20"/>
    </w:rPr>
  </w:style>
  <w:style w:type="paragraph" w:styleId="CommentSubject">
    <w:name w:val="annotation subject"/>
    <w:basedOn w:val="CommentText"/>
    <w:next w:val="CommentText"/>
    <w:semiHidden/>
    <w:rsid w:val="008A3730"/>
    <w:rPr>
      <w:b/>
      <w:bCs/>
    </w:rPr>
  </w:style>
  <w:style w:type="paragraph" w:styleId="List2">
    <w:name w:val="List 2"/>
    <w:basedOn w:val="Normal"/>
    <w:rsid w:val="003E67D3"/>
    <w:pPr>
      <w:ind w:left="720" w:hanging="360"/>
    </w:pPr>
  </w:style>
  <w:style w:type="paragraph" w:styleId="BodyText">
    <w:name w:val="Body Text"/>
    <w:basedOn w:val="Normal"/>
    <w:rsid w:val="003E67D3"/>
    <w:pPr>
      <w:spacing w:after="120"/>
    </w:pPr>
  </w:style>
  <w:style w:type="paragraph" w:styleId="Header">
    <w:name w:val="header"/>
    <w:basedOn w:val="Normal"/>
    <w:rsid w:val="00A20598"/>
    <w:pPr>
      <w:tabs>
        <w:tab w:val="center" w:pos="4320"/>
        <w:tab w:val="right" w:pos="8640"/>
      </w:tabs>
    </w:pPr>
  </w:style>
  <w:style w:type="paragraph" w:styleId="Footer">
    <w:name w:val="footer"/>
    <w:basedOn w:val="Normal"/>
    <w:rsid w:val="00A20598"/>
    <w:pPr>
      <w:tabs>
        <w:tab w:val="center" w:pos="4320"/>
        <w:tab w:val="right" w:pos="8640"/>
      </w:tabs>
    </w:pPr>
  </w:style>
  <w:style w:type="paragraph" w:styleId="ListParagraph">
    <w:name w:val="List Paragraph"/>
    <w:basedOn w:val="Normal"/>
    <w:uiPriority w:val="34"/>
    <w:qFormat/>
    <w:rsid w:val="006A08F6"/>
    <w:pPr>
      <w:ind w:left="720"/>
    </w:pPr>
  </w:style>
</w:styles>
</file>

<file path=word/webSettings.xml><?xml version="1.0" encoding="utf-8"?>
<w:webSettings xmlns:r="http://schemas.openxmlformats.org/officeDocument/2006/relationships" xmlns:w="http://schemas.openxmlformats.org/wordprocessingml/2006/main">
  <w:divs>
    <w:div w:id="732771430">
      <w:bodyDiv w:val="1"/>
      <w:marLeft w:val="0"/>
      <w:marRight w:val="0"/>
      <w:marTop w:val="0"/>
      <w:marBottom w:val="0"/>
      <w:divBdr>
        <w:top w:val="none" w:sz="0" w:space="0" w:color="auto"/>
        <w:left w:val="none" w:sz="0" w:space="0" w:color="auto"/>
        <w:bottom w:val="none" w:sz="0" w:space="0" w:color="auto"/>
        <w:right w:val="none" w:sz="0" w:space="0" w:color="auto"/>
      </w:divBdr>
    </w:div>
    <w:div w:id="842477447">
      <w:bodyDiv w:val="1"/>
      <w:marLeft w:val="0"/>
      <w:marRight w:val="0"/>
      <w:marTop w:val="0"/>
      <w:marBottom w:val="0"/>
      <w:divBdr>
        <w:top w:val="none" w:sz="0" w:space="0" w:color="auto"/>
        <w:left w:val="none" w:sz="0" w:space="0" w:color="auto"/>
        <w:bottom w:val="none" w:sz="0" w:space="0" w:color="auto"/>
        <w:right w:val="none" w:sz="0" w:space="0" w:color="auto"/>
      </w:divBdr>
    </w:div>
    <w:div w:id="938951546">
      <w:bodyDiv w:val="1"/>
      <w:marLeft w:val="0"/>
      <w:marRight w:val="0"/>
      <w:marTop w:val="0"/>
      <w:marBottom w:val="0"/>
      <w:divBdr>
        <w:top w:val="none" w:sz="0" w:space="0" w:color="auto"/>
        <w:left w:val="none" w:sz="0" w:space="0" w:color="auto"/>
        <w:bottom w:val="none" w:sz="0" w:space="0" w:color="auto"/>
        <w:right w:val="none" w:sz="0" w:space="0" w:color="auto"/>
      </w:divBdr>
    </w:div>
    <w:div w:id="188451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image" Target="media/image3.emf"/><Relationship Id="rId10"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248</Words>
  <Characters>1414</Characters>
  <Application>Microsoft Macintosh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1736</CharactersWithSpaces>
  <SharedDoc>false</SharedDoc>
  <HLinks>
    <vt:vector size="6" baseType="variant">
      <vt:variant>
        <vt:i4>6029435</vt:i4>
      </vt:variant>
      <vt:variant>
        <vt:i4>0</vt:i4>
      </vt:variant>
      <vt:variant>
        <vt:i4>0</vt:i4>
      </vt:variant>
      <vt:variant>
        <vt:i4>5</vt:i4>
      </vt:variant>
      <vt:variant>
        <vt:lpwstr>http://www.unols.org/publications/reports/budget_impacts/NonOp_Process_Recmd.pdf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NSFUSER</dc:creator>
  <cp:keywords/>
  <cp:lastModifiedBy>Annette DeSilva</cp:lastModifiedBy>
  <cp:revision>5</cp:revision>
  <cp:lastPrinted>2011-09-19T15:37:00Z</cp:lastPrinted>
  <dcterms:created xsi:type="dcterms:W3CDTF">2011-10-24T23:01:00Z</dcterms:created>
  <dcterms:modified xsi:type="dcterms:W3CDTF">2011-10-24T23:57:00Z</dcterms:modified>
</cp:coreProperties>
</file>